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885B99" w:rsidP="002E02BB">
      <w:pPr>
        <w:jc w:val="center"/>
        <w:rPr>
          <w:rFonts w:ascii="Verdana" w:hAnsi="Verdana"/>
          <w:b/>
          <w:sz w:val="28"/>
        </w:rPr>
      </w:pPr>
      <w:r>
        <w:rPr>
          <w:rFonts w:ascii="Verdana" w:hAnsi="Verdana"/>
          <w:b/>
          <w:sz w:val="28"/>
        </w:rPr>
        <w:t xml:space="preserve">HABILITATION A DIRIGER DES RECHERCHES </w:t>
      </w:r>
    </w:p>
    <w:p w:rsidR="00A155DA" w:rsidRPr="002B1910" w:rsidRDefault="00A155DA" w:rsidP="002E02BB">
      <w:pPr>
        <w:jc w:val="center"/>
        <w:rPr>
          <w:rFonts w:ascii="Verdana" w:hAnsi="Verdana"/>
          <w:b/>
          <w:sz w:val="8"/>
        </w:rPr>
      </w:pPr>
    </w:p>
    <w:p w:rsidR="00885B99" w:rsidRDefault="00885B99" w:rsidP="002E02BB">
      <w:pPr>
        <w:rPr>
          <w:rFonts w:ascii="Verdana" w:hAnsi="Verdana"/>
        </w:rPr>
      </w:pPr>
    </w:p>
    <w:p w:rsidR="001B0AD8" w:rsidRDefault="00974CF8" w:rsidP="002E02BB">
      <w:pPr>
        <w:rPr>
          <w:rFonts w:ascii="Verdana" w:hAnsi="Verdana"/>
          <w:b/>
        </w:rPr>
      </w:pPr>
      <w:r w:rsidRPr="0057360F">
        <w:rPr>
          <w:rFonts w:ascii="Verdana" w:hAnsi="Verdana"/>
        </w:rPr>
        <w:t xml:space="preserve">Date de la soutenance : </w:t>
      </w:r>
      <w:r w:rsidR="00BC27E1">
        <w:rPr>
          <w:rFonts w:ascii="Verdana" w:hAnsi="Verdana"/>
          <w:b/>
        </w:rPr>
        <w:t>14 décembre</w:t>
      </w:r>
      <w:r w:rsidR="00B12235">
        <w:rPr>
          <w:rFonts w:ascii="Verdana" w:hAnsi="Verdana"/>
          <w:b/>
        </w:rPr>
        <w:t xml:space="preserve"> 2018</w:t>
      </w:r>
    </w:p>
    <w:p w:rsidR="00974CF8" w:rsidRPr="00F45459" w:rsidRDefault="00974CF8" w:rsidP="00F45459">
      <w:pPr>
        <w:rPr>
          <w:rFonts w:ascii="Verdana" w:hAnsi="Verdana"/>
          <w:b/>
        </w:rPr>
      </w:pPr>
      <w:r w:rsidRPr="0057360F">
        <w:rPr>
          <w:rFonts w:ascii="Verdana" w:hAnsi="Verdana"/>
        </w:rPr>
        <w:t>Nom de famille et prénom de l’auteur :</w:t>
      </w:r>
      <w:r w:rsidR="00E6260B">
        <w:rPr>
          <w:rFonts w:ascii="Verdana" w:hAnsi="Verdana"/>
        </w:rPr>
        <w:t> </w:t>
      </w:r>
      <w:r w:rsidR="00BC27E1">
        <w:rPr>
          <w:rFonts w:ascii="Verdana" w:hAnsi="Verdana"/>
          <w:b/>
        </w:rPr>
        <w:t>Emmanuel BACHY</w:t>
      </w:r>
    </w:p>
    <w:p w:rsidR="00B12235" w:rsidRPr="00B12235" w:rsidRDefault="00ED7FB9" w:rsidP="00BC27E1">
      <w:pPr>
        <w:spacing w:line="360" w:lineRule="auto"/>
        <w:ind w:right="-284"/>
        <w:rPr>
          <w:rFonts w:ascii="Verdana" w:eastAsia="Times New Roman" w:hAnsi="Verdana" w:cs="Times New Roman"/>
          <w:b/>
          <w:bCs/>
          <w:sz w:val="20"/>
          <w:szCs w:val="20"/>
          <w:lang w:eastAsia="fr-FR"/>
        </w:rPr>
      </w:pPr>
      <w:r w:rsidRPr="0057360F">
        <w:rPr>
          <w:rFonts w:ascii="Verdana" w:hAnsi="Verdana"/>
        </w:rPr>
        <w:t>Titre de la thèse</w:t>
      </w:r>
      <w:r w:rsidR="00C00E65">
        <w:rPr>
          <w:rFonts w:ascii="Verdana" w:hAnsi="Verdana"/>
        </w:rPr>
        <w:t> </w:t>
      </w:r>
      <w:r w:rsidR="00B12235" w:rsidRPr="00B12235">
        <w:rPr>
          <w:rFonts w:ascii="Verdana" w:eastAsia="Times New Roman" w:hAnsi="Verdana" w:cs="Times New Roman"/>
          <w:bCs/>
          <w:sz w:val="20"/>
          <w:szCs w:val="20"/>
          <w:lang w:eastAsia="fr-FR"/>
        </w:rPr>
        <w:t xml:space="preserve">: </w:t>
      </w:r>
      <w:r w:rsidR="00B12235" w:rsidRPr="00B12235">
        <w:rPr>
          <w:rFonts w:ascii="Verdana" w:eastAsia="Times New Roman" w:hAnsi="Verdana" w:cs="Times New Roman"/>
          <w:b/>
          <w:bCs/>
          <w:sz w:val="20"/>
          <w:szCs w:val="20"/>
          <w:lang w:eastAsia="fr-FR"/>
        </w:rPr>
        <w:t xml:space="preserve">« </w:t>
      </w:r>
      <w:r w:rsidR="00BC27E1" w:rsidRPr="00BC27E1">
        <w:rPr>
          <w:rFonts w:ascii="Verdana" w:hAnsi="Verdana"/>
          <w:b/>
          <w:i/>
          <w:noProof/>
          <w:sz w:val="20"/>
          <w:szCs w:val="20"/>
        </w:rPr>
        <w:t>Mécanismes oncogéniques et cibles thérapeutiques dans les lymphomes T matures</w:t>
      </w:r>
      <w:r w:rsidR="00BC27E1">
        <w:rPr>
          <w:rFonts w:ascii="Verdana" w:hAnsi="Verdana"/>
          <w:i/>
          <w:noProof/>
          <w:sz w:val="20"/>
          <w:szCs w:val="20"/>
        </w:rPr>
        <w:t xml:space="preserve"> </w:t>
      </w:r>
      <w:r w:rsidR="00B12235" w:rsidRPr="00B12235">
        <w:rPr>
          <w:rFonts w:ascii="Verdana" w:eastAsia="Times New Roman" w:hAnsi="Verdana" w:cs="Times New Roman"/>
          <w:b/>
          <w:bCs/>
          <w:sz w:val="20"/>
          <w:szCs w:val="20"/>
          <w:lang w:eastAsia="fr-FR"/>
        </w:rPr>
        <w:t>»</w:t>
      </w:r>
    </w:p>
    <w:p w:rsidR="003A7E32" w:rsidRPr="00775598" w:rsidRDefault="003A7E32" w:rsidP="003A7E32">
      <w:pPr>
        <w:pStyle w:val="Sansinterligne"/>
        <w:spacing w:after="120"/>
        <w:jc w:val="both"/>
        <w:rPr>
          <w:rFonts w:ascii="Palatino Linotype" w:hAnsi="Palatino Linotype"/>
          <w:i/>
          <w:spacing w:val="-6"/>
          <w:sz w:val="20"/>
          <w:szCs w:val="20"/>
        </w:rPr>
      </w:pPr>
    </w:p>
    <w:p w:rsidR="00EF29E9" w:rsidRDefault="005C75BA" w:rsidP="003A7E32">
      <w:pPr>
        <w:widowControl w:val="0"/>
        <w:autoSpaceDE w:val="0"/>
        <w:autoSpaceDN w:val="0"/>
        <w:adjustRightInd w:val="0"/>
        <w:spacing w:after="0" w:line="340" w:lineRule="atLeast"/>
        <w:jc w:val="both"/>
        <w:rPr>
          <w:rFonts w:ascii="Verdana" w:hAnsi="Verdana"/>
          <w:b/>
          <w:sz w:val="28"/>
        </w:rPr>
      </w:pPr>
      <w:r w:rsidRPr="0057360F">
        <w:rPr>
          <w:rFonts w:ascii="Verdana" w:hAnsi="Verdana"/>
          <w:noProof/>
          <w:lang w:eastAsia="fr-FR"/>
        </w:rPr>
        <w:drawing>
          <wp:anchor distT="0" distB="0" distL="114300" distR="114300" simplePos="0" relativeHeight="251658240"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5" cstate="print">
                      <a:biLevel thresh="75000"/>
                      <a:extLst>
                        <a:ext uri="{BEBA8EAE-BF5A-486C-A8C5-ECC9F3942E4B}">
                          <a14:imgProps xmlns:a14="http://schemas.microsoft.com/office/drawing/2010/main">
                            <a14:imgLayer r:embed="rId6">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955E52" w:rsidRPr="00B86671" w:rsidRDefault="00955E52" w:rsidP="0083487A">
      <w:pPr>
        <w:jc w:val="both"/>
        <w:rPr>
          <w:rFonts w:ascii="Verdana" w:hAnsi="Verdana"/>
          <w:b/>
          <w:sz w:val="16"/>
        </w:rPr>
      </w:pPr>
    </w:p>
    <w:p w:rsidR="00E6260B" w:rsidRPr="00E6260B" w:rsidRDefault="00E6260B" w:rsidP="00E6260B">
      <w:pPr>
        <w:widowControl w:val="0"/>
        <w:autoSpaceDE w:val="0"/>
        <w:autoSpaceDN w:val="0"/>
        <w:adjustRightInd w:val="0"/>
        <w:spacing w:after="240" w:line="276" w:lineRule="auto"/>
        <w:rPr>
          <w:rFonts w:ascii="Verdana" w:hAnsi="Verdana" w:cs="Times"/>
          <w:color w:val="000000"/>
        </w:rPr>
      </w:pPr>
      <w:r w:rsidRPr="00E6260B">
        <w:rPr>
          <w:rFonts w:ascii="Verdana" w:hAnsi="Verdana" w:cs="Times"/>
          <w:b/>
          <w:bCs/>
          <w:color w:val="000000"/>
        </w:rPr>
        <w:t xml:space="preserve">Résumé </w:t>
      </w:r>
    </w:p>
    <w:p w:rsidR="00BC27E1" w:rsidRDefault="00BC27E1" w:rsidP="00BC27E1">
      <w:pPr>
        <w:jc w:val="both"/>
        <w:rPr>
          <w:rFonts w:ascii="Arial" w:hAnsi="Arial" w:cs="Arial"/>
          <w:sz w:val="20"/>
          <w:szCs w:val="20"/>
        </w:rPr>
      </w:pPr>
      <w:r w:rsidRPr="00323AED">
        <w:rPr>
          <w:rFonts w:ascii="Arial" w:eastAsia="Times New Roman" w:hAnsi="Arial" w:cs="Arial"/>
          <w:color w:val="212121"/>
          <w:sz w:val="20"/>
          <w:szCs w:val="20"/>
        </w:rPr>
        <w:t>Le</w:t>
      </w:r>
      <w:r w:rsidRPr="003F7265">
        <w:rPr>
          <w:rFonts w:ascii="Arial" w:eastAsia="Times New Roman" w:hAnsi="Arial" w:cs="Arial"/>
          <w:color w:val="212121"/>
          <w:sz w:val="20"/>
          <w:szCs w:val="20"/>
        </w:rPr>
        <w:t>s</w:t>
      </w:r>
      <w:r w:rsidRPr="00323AED">
        <w:rPr>
          <w:rFonts w:ascii="Arial" w:eastAsia="Times New Roman" w:hAnsi="Arial" w:cs="Arial"/>
          <w:color w:val="212121"/>
          <w:sz w:val="20"/>
          <w:szCs w:val="20"/>
        </w:rPr>
        <w:t xml:space="preserve"> lymphome</w:t>
      </w:r>
      <w:r w:rsidRPr="003F7265">
        <w:rPr>
          <w:rFonts w:ascii="Arial" w:eastAsia="Times New Roman" w:hAnsi="Arial" w:cs="Arial"/>
          <w:color w:val="212121"/>
          <w:sz w:val="20"/>
          <w:szCs w:val="20"/>
        </w:rPr>
        <w:t>s</w:t>
      </w:r>
      <w:r w:rsidRPr="00323AED">
        <w:rPr>
          <w:rFonts w:ascii="Arial" w:eastAsia="Times New Roman" w:hAnsi="Arial" w:cs="Arial"/>
          <w:color w:val="212121"/>
          <w:sz w:val="20"/>
          <w:szCs w:val="20"/>
        </w:rPr>
        <w:t xml:space="preserve"> non hodgkinien</w:t>
      </w:r>
      <w:r w:rsidRPr="003F7265">
        <w:rPr>
          <w:rFonts w:ascii="Arial" w:eastAsia="Times New Roman" w:hAnsi="Arial" w:cs="Arial"/>
          <w:color w:val="212121"/>
          <w:sz w:val="20"/>
          <w:szCs w:val="20"/>
        </w:rPr>
        <w:t>s</w:t>
      </w:r>
      <w:r w:rsidRPr="00323AED">
        <w:rPr>
          <w:rFonts w:ascii="Arial" w:eastAsia="Times New Roman" w:hAnsi="Arial" w:cs="Arial"/>
          <w:color w:val="212121"/>
          <w:sz w:val="20"/>
          <w:szCs w:val="20"/>
        </w:rPr>
        <w:t xml:space="preserve"> (LNH) </w:t>
      </w:r>
      <w:r w:rsidRPr="003F7265">
        <w:rPr>
          <w:rFonts w:ascii="Arial" w:eastAsia="Times New Roman" w:hAnsi="Arial" w:cs="Arial"/>
          <w:color w:val="212121"/>
          <w:sz w:val="20"/>
          <w:szCs w:val="20"/>
        </w:rPr>
        <w:t>sont</w:t>
      </w:r>
      <w:r w:rsidRPr="00323AED">
        <w:rPr>
          <w:rFonts w:ascii="Arial" w:eastAsia="Times New Roman" w:hAnsi="Arial" w:cs="Arial"/>
          <w:color w:val="212121"/>
          <w:sz w:val="20"/>
          <w:szCs w:val="20"/>
        </w:rPr>
        <w:t xml:space="preserve"> une forme de cancer émergeant de la transformation d'un lymphocyte B ou T mature. Cliniquement, le</w:t>
      </w:r>
      <w:r w:rsidRPr="003F7265">
        <w:rPr>
          <w:rFonts w:ascii="Arial" w:eastAsia="Times New Roman" w:hAnsi="Arial" w:cs="Arial"/>
          <w:color w:val="212121"/>
          <w:sz w:val="20"/>
          <w:szCs w:val="20"/>
        </w:rPr>
        <w:t>s</w:t>
      </w:r>
      <w:r w:rsidRPr="00323AED">
        <w:rPr>
          <w:rFonts w:ascii="Arial" w:eastAsia="Times New Roman" w:hAnsi="Arial" w:cs="Arial"/>
          <w:color w:val="212121"/>
          <w:sz w:val="20"/>
          <w:szCs w:val="20"/>
        </w:rPr>
        <w:t xml:space="preserve"> LNH se caractérise</w:t>
      </w:r>
      <w:r w:rsidRPr="003F7265">
        <w:rPr>
          <w:rFonts w:ascii="Arial" w:eastAsia="Times New Roman" w:hAnsi="Arial" w:cs="Arial"/>
          <w:color w:val="212121"/>
          <w:sz w:val="20"/>
          <w:szCs w:val="20"/>
        </w:rPr>
        <w:t>nt</w:t>
      </w:r>
      <w:r w:rsidRPr="00323AED">
        <w:rPr>
          <w:rFonts w:ascii="Arial" w:eastAsia="Times New Roman" w:hAnsi="Arial" w:cs="Arial"/>
          <w:color w:val="212121"/>
          <w:sz w:val="20"/>
          <w:szCs w:val="20"/>
        </w:rPr>
        <w:t xml:space="preserve"> généralement par une hypertrophie </w:t>
      </w:r>
      <w:r w:rsidRPr="003F7265">
        <w:rPr>
          <w:rFonts w:ascii="Arial" w:eastAsia="Times New Roman" w:hAnsi="Arial" w:cs="Arial"/>
          <w:color w:val="212121"/>
          <w:sz w:val="20"/>
          <w:szCs w:val="20"/>
        </w:rPr>
        <w:t>des ganglions lymphatiques et/</w:t>
      </w:r>
      <w:r w:rsidRPr="00323AED">
        <w:rPr>
          <w:rFonts w:ascii="Arial" w:eastAsia="Times New Roman" w:hAnsi="Arial" w:cs="Arial"/>
          <w:color w:val="212121"/>
          <w:sz w:val="20"/>
          <w:szCs w:val="20"/>
        </w:rPr>
        <w:t xml:space="preserve">ou de la rate, </w:t>
      </w:r>
      <w:proofErr w:type="gramStart"/>
      <w:r w:rsidRPr="00323AED">
        <w:rPr>
          <w:rFonts w:ascii="Arial" w:eastAsia="Times New Roman" w:hAnsi="Arial" w:cs="Arial"/>
          <w:color w:val="212121"/>
          <w:sz w:val="20"/>
          <w:szCs w:val="20"/>
        </w:rPr>
        <w:t xml:space="preserve">une </w:t>
      </w:r>
      <w:r w:rsidRPr="003F7265">
        <w:rPr>
          <w:rFonts w:ascii="Arial" w:eastAsia="Times New Roman" w:hAnsi="Arial" w:cs="Arial"/>
          <w:color w:val="212121"/>
          <w:sz w:val="20"/>
          <w:szCs w:val="20"/>
        </w:rPr>
        <w:t xml:space="preserve">possible </w:t>
      </w:r>
      <w:r w:rsidRPr="00323AED">
        <w:rPr>
          <w:rFonts w:ascii="Arial" w:eastAsia="Times New Roman" w:hAnsi="Arial" w:cs="Arial"/>
          <w:color w:val="212121"/>
          <w:sz w:val="20"/>
          <w:szCs w:val="20"/>
        </w:rPr>
        <w:t>atteinte</w:t>
      </w:r>
      <w:proofErr w:type="gramEnd"/>
      <w:r w:rsidRPr="00323AED">
        <w:rPr>
          <w:rFonts w:ascii="Arial" w:eastAsia="Times New Roman" w:hAnsi="Arial" w:cs="Arial"/>
          <w:color w:val="212121"/>
          <w:sz w:val="20"/>
          <w:szCs w:val="20"/>
        </w:rPr>
        <w:t xml:space="preserve"> de la moelle osseuse ou du sang périphérique et parfois une propagation extra-nodale de la maladie. Le</w:t>
      </w:r>
      <w:r w:rsidRPr="003F7265">
        <w:rPr>
          <w:rFonts w:ascii="Arial" w:eastAsia="Times New Roman" w:hAnsi="Arial" w:cs="Arial"/>
          <w:color w:val="212121"/>
          <w:sz w:val="20"/>
          <w:szCs w:val="20"/>
        </w:rPr>
        <w:t>s</w:t>
      </w:r>
      <w:r w:rsidRPr="00323AED">
        <w:rPr>
          <w:rFonts w:ascii="Arial" w:eastAsia="Times New Roman" w:hAnsi="Arial" w:cs="Arial"/>
          <w:color w:val="212121"/>
          <w:sz w:val="20"/>
          <w:szCs w:val="20"/>
        </w:rPr>
        <w:t xml:space="preserve"> LNH </w:t>
      </w:r>
      <w:r w:rsidRPr="003F7265">
        <w:rPr>
          <w:rFonts w:ascii="Arial" w:eastAsia="Times New Roman" w:hAnsi="Arial" w:cs="Arial"/>
          <w:color w:val="212121"/>
          <w:sz w:val="20"/>
          <w:szCs w:val="20"/>
        </w:rPr>
        <w:t>sont</w:t>
      </w:r>
      <w:r w:rsidRPr="00323AED">
        <w:rPr>
          <w:rFonts w:ascii="Arial" w:eastAsia="Times New Roman" w:hAnsi="Arial" w:cs="Arial"/>
          <w:color w:val="212121"/>
          <w:sz w:val="20"/>
          <w:szCs w:val="20"/>
        </w:rPr>
        <w:t xml:space="preserve"> une maladie très hétérogène. La dernière révision 2016 de la classification de l'Organisation mondiale de la santé (OMS) eng</w:t>
      </w:r>
      <w:r>
        <w:rPr>
          <w:rFonts w:ascii="Arial" w:eastAsia="Times New Roman" w:hAnsi="Arial" w:cs="Arial"/>
          <w:color w:val="212121"/>
          <w:sz w:val="20"/>
          <w:szCs w:val="20"/>
        </w:rPr>
        <w:t>lobait plus de 80</w:t>
      </w:r>
      <w:r w:rsidRPr="003F7265">
        <w:rPr>
          <w:rFonts w:ascii="Arial" w:eastAsia="Times New Roman" w:hAnsi="Arial" w:cs="Arial"/>
          <w:color w:val="212121"/>
          <w:sz w:val="20"/>
          <w:szCs w:val="20"/>
        </w:rPr>
        <w:t xml:space="preserve"> sous-entités.</w:t>
      </w:r>
      <w:r w:rsidRPr="00323AED">
        <w:rPr>
          <w:rFonts w:ascii="Arial" w:eastAsia="Times New Roman" w:hAnsi="Arial" w:cs="Arial"/>
          <w:color w:val="212121"/>
          <w:sz w:val="20"/>
          <w:szCs w:val="20"/>
        </w:rPr>
        <w:t xml:space="preserve"> L'hétérogénéité de la maladie se traduit par un pronostic extrêmement variable pour les patients souffrant de LNH allant </w:t>
      </w:r>
      <w:r w:rsidRPr="003F7265">
        <w:rPr>
          <w:rFonts w:ascii="Arial" w:eastAsia="Times New Roman" w:hAnsi="Arial" w:cs="Arial"/>
          <w:color w:val="212121"/>
          <w:sz w:val="20"/>
          <w:szCs w:val="20"/>
        </w:rPr>
        <w:t>d’une survie globale à</w:t>
      </w:r>
      <w:r w:rsidRPr="00323AED">
        <w:rPr>
          <w:rFonts w:ascii="Arial" w:eastAsia="Times New Roman" w:hAnsi="Arial" w:cs="Arial"/>
          <w:color w:val="212121"/>
          <w:sz w:val="20"/>
          <w:szCs w:val="20"/>
        </w:rPr>
        <w:t xml:space="preserve"> 5 ans supérieure à 90% dans les cas de lym</w:t>
      </w:r>
      <w:r w:rsidRPr="003F7265">
        <w:rPr>
          <w:rFonts w:ascii="Arial" w:eastAsia="Times New Roman" w:hAnsi="Arial" w:cs="Arial"/>
          <w:color w:val="212121"/>
          <w:sz w:val="20"/>
          <w:szCs w:val="20"/>
        </w:rPr>
        <w:t>phomes indolents à cellules B mais</w:t>
      </w:r>
      <w:r w:rsidRPr="00323AED">
        <w:rPr>
          <w:rFonts w:ascii="Arial" w:eastAsia="Times New Roman" w:hAnsi="Arial" w:cs="Arial"/>
          <w:color w:val="212121"/>
          <w:sz w:val="20"/>
          <w:szCs w:val="20"/>
        </w:rPr>
        <w:t xml:space="preserve"> inférieure à 10% dans les sous-types les plus agressifs </w:t>
      </w:r>
      <w:r w:rsidRPr="003F7265">
        <w:rPr>
          <w:rFonts w:ascii="Arial" w:eastAsia="Times New Roman" w:hAnsi="Arial" w:cs="Arial"/>
          <w:color w:val="212121"/>
          <w:sz w:val="20"/>
          <w:szCs w:val="20"/>
        </w:rPr>
        <w:t>d’hémopathies malignes, notamment les lymphomes T périphériques (LTP).</w:t>
      </w:r>
      <w:r>
        <w:rPr>
          <w:rFonts w:ascii="Arial" w:eastAsia="Times New Roman" w:hAnsi="Arial" w:cs="Arial"/>
          <w:color w:val="212121"/>
          <w:sz w:val="20"/>
          <w:szCs w:val="20"/>
        </w:rPr>
        <w:t xml:space="preserve"> </w:t>
      </w:r>
      <w:r w:rsidRPr="003F7265">
        <w:rPr>
          <w:rFonts w:ascii="Arial" w:hAnsi="Arial" w:cs="Arial"/>
          <w:sz w:val="20"/>
          <w:szCs w:val="20"/>
        </w:rPr>
        <w:t>L’ensemble de</w:t>
      </w:r>
      <w:r>
        <w:rPr>
          <w:rFonts w:ascii="Arial" w:hAnsi="Arial" w:cs="Arial"/>
          <w:sz w:val="20"/>
          <w:szCs w:val="20"/>
        </w:rPr>
        <w:t xml:space="preserve"> mes travaux de recherche porte sur l’identification des mécanismes physiopathologiques impliqués dans la </w:t>
      </w:r>
      <w:proofErr w:type="spellStart"/>
      <w:r>
        <w:rPr>
          <w:rFonts w:ascii="Arial" w:hAnsi="Arial" w:cs="Arial"/>
          <w:sz w:val="20"/>
          <w:szCs w:val="20"/>
        </w:rPr>
        <w:t>lymphomagénèse</w:t>
      </w:r>
      <w:proofErr w:type="spellEnd"/>
      <w:r>
        <w:rPr>
          <w:rFonts w:ascii="Arial" w:hAnsi="Arial" w:cs="Arial"/>
          <w:sz w:val="20"/>
          <w:szCs w:val="20"/>
        </w:rPr>
        <w:t xml:space="preserve"> T mature et la recherche de nouvelles cibles thérapeutiques dans cette maladie. </w:t>
      </w:r>
    </w:p>
    <w:p w:rsidR="00BC27E1" w:rsidRPr="003F7265" w:rsidRDefault="00BC27E1" w:rsidP="00BC27E1">
      <w:pPr>
        <w:jc w:val="both"/>
        <w:rPr>
          <w:rFonts w:ascii="Arial" w:eastAsia="Times New Roman" w:hAnsi="Arial" w:cs="Arial"/>
          <w:color w:val="212121"/>
          <w:sz w:val="20"/>
          <w:szCs w:val="20"/>
        </w:rPr>
      </w:pPr>
    </w:p>
    <w:p w:rsidR="00BC27E1" w:rsidRDefault="00BC27E1" w:rsidP="00BC27E1">
      <w:pPr>
        <w:jc w:val="both"/>
        <w:rPr>
          <w:rFonts w:ascii="Arial" w:eastAsia="MS Mincho" w:hAnsi="Arial" w:cs="Arial"/>
          <w:bCs/>
          <w:sz w:val="20"/>
          <w:szCs w:val="20"/>
        </w:rPr>
      </w:pPr>
      <w:r>
        <w:rPr>
          <w:rFonts w:ascii="Arial" w:hAnsi="Arial" w:cs="Arial"/>
          <w:sz w:val="20"/>
          <w:szCs w:val="20"/>
        </w:rPr>
        <w:t>Nous avons démontré en 2016 l’existence d’une entité particulière de lymphome T dérivant de cellules dites Natural Killer T-</w:t>
      </w:r>
      <w:proofErr w:type="spellStart"/>
      <w:r>
        <w:rPr>
          <w:rFonts w:ascii="Arial" w:hAnsi="Arial" w:cs="Arial"/>
          <w:sz w:val="20"/>
          <w:szCs w:val="20"/>
        </w:rPr>
        <w:t>cell</w:t>
      </w:r>
      <w:proofErr w:type="spellEnd"/>
      <w:r>
        <w:rPr>
          <w:rFonts w:ascii="Arial" w:hAnsi="Arial" w:cs="Arial"/>
          <w:sz w:val="20"/>
          <w:szCs w:val="20"/>
        </w:rPr>
        <w:t xml:space="preserve"> invariant dans un modèle murin de </w:t>
      </w:r>
      <w:proofErr w:type="spellStart"/>
      <w:r>
        <w:rPr>
          <w:rFonts w:ascii="Arial" w:hAnsi="Arial" w:cs="Arial"/>
          <w:sz w:val="20"/>
          <w:szCs w:val="20"/>
        </w:rPr>
        <w:t>lymphomagénèse</w:t>
      </w:r>
      <w:proofErr w:type="spellEnd"/>
      <w:r>
        <w:rPr>
          <w:rFonts w:ascii="Arial" w:hAnsi="Arial" w:cs="Arial"/>
          <w:sz w:val="20"/>
          <w:szCs w:val="20"/>
        </w:rPr>
        <w:t xml:space="preserve"> et confirmé l’existence d’un équivalent chez l’homme de cette pathologie (lymphome T gamma/delta V∂1) [Bachy et al., JEM 2016]. Nous avons également démontré l’intérêt d’un traitement par anticorps bloquant anti-CD1d dans ce type de lymphome (brevet </w:t>
      </w:r>
      <w:r w:rsidRPr="003F7265">
        <w:rPr>
          <w:rFonts w:ascii="Arial" w:eastAsia="MS Mincho" w:hAnsi="Arial" w:cs="Arial"/>
          <w:bCs/>
          <w:i/>
          <w:sz w:val="20"/>
          <w:szCs w:val="20"/>
        </w:rPr>
        <w:t>EP14306073.9).</w:t>
      </w:r>
      <w:r>
        <w:rPr>
          <w:rFonts w:ascii="Arial" w:eastAsia="MS Mincho" w:hAnsi="Arial" w:cs="Arial"/>
          <w:bCs/>
          <w:i/>
          <w:sz w:val="20"/>
          <w:szCs w:val="20"/>
        </w:rPr>
        <w:t xml:space="preserve"> </w:t>
      </w:r>
    </w:p>
    <w:p w:rsidR="00BC27E1" w:rsidRDefault="00BC27E1" w:rsidP="00BC27E1">
      <w:pPr>
        <w:jc w:val="both"/>
        <w:rPr>
          <w:rFonts w:ascii="Arial" w:eastAsia="MS Mincho" w:hAnsi="Arial" w:cs="Arial"/>
          <w:bCs/>
          <w:sz w:val="20"/>
          <w:szCs w:val="20"/>
        </w:rPr>
      </w:pPr>
    </w:p>
    <w:p w:rsidR="00BC27E1" w:rsidRDefault="00BC27E1" w:rsidP="00BC27E1">
      <w:pPr>
        <w:jc w:val="both"/>
        <w:rPr>
          <w:rFonts w:ascii="Arial" w:eastAsia="MS Mincho" w:hAnsi="Arial" w:cs="Arial"/>
          <w:bCs/>
          <w:sz w:val="20"/>
          <w:szCs w:val="20"/>
        </w:rPr>
      </w:pPr>
      <w:r>
        <w:rPr>
          <w:rFonts w:ascii="Arial" w:eastAsia="MS Mincho" w:hAnsi="Arial" w:cs="Arial"/>
          <w:bCs/>
          <w:sz w:val="20"/>
          <w:szCs w:val="20"/>
        </w:rPr>
        <w:t xml:space="preserve">Plus récemment, nous avons conduit des cribles pan-génomiques basés sur la technique dite CRISPR/Cas9 pour identifier de nouvelles cibles thérapeutiques dans le lymphome T mature. Parmi de multiples cibles potentielles, nous concentrons actuellement nos travaux sur le gène CFLAR codant pour la protéine </w:t>
      </w:r>
      <w:proofErr w:type="spellStart"/>
      <w:r>
        <w:rPr>
          <w:rFonts w:ascii="Arial" w:eastAsia="MS Mincho" w:hAnsi="Arial" w:cs="Arial"/>
          <w:bCs/>
          <w:sz w:val="20"/>
          <w:szCs w:val="20"/>
        </w:rPr>
        <w:t>cFLIP</w:t>
      </w:r>
      <w:proofErr w:type="spellEnd"/>
      <w:r>
        <w:rPr>
          <w:rFonts w:ascii="Arial" w:eastAsia="MS Mincho" w:hAnsi="Arial" w:cs="Arial"/>
          <w:bCs/>
          <w:sz w:val="20"/>
          <w:szCs w:val="20"/>
        </w:rPr>
        <w:t>, dont la partie C-terminale de l’</w:t>
      </w:r>
      <w:proofErr w:type="spellStart"/>
      <w:r>
        <w:rPr>
          <w:rFonts w:ascii="Arial" w:eastAsia="MS Mincho" w:hAnsi="Arial" w:cs="Arial"/>
          <w:bCs/>
          <w:sz w:val="20"/>
          <w:szCs w:val="20"/>
        </w:rPr>
        <w:t>isoforme</w:t>
      </w:r>
      <w:proofErr w:type="spellEnd"/>
      <w:r>
        <w:rPr>
          <w:rFonts w:ascii="Arial" w:eastAsia="MS Mincho" w:hAnsi="Arial" w:cs="Arial"/>
          <w:bCs/>
          <w:sz w:val="20"/>
          <w:szCs w:val="20"/>
        </w:rPr>
        <w:t xml:space="preserve"> longue (</w:t>
      </w:r>
      <w:proofErr w:type="spellStart"/>
      <w:r>
        <w:rPr>
          <w:rFonts w:ascii="Arial" w:eastAsia="MS Mincho" w:hAnsi="Arial" w:cs="Arial"/>
          <w:bCs/>
          <w:sz w:val="20"/>
          <w:szCs w:val="20"/>
        </w:rPr>
        <w:t>cFLIP</w:t>
      </w:r>
      <w:r w:rsidRPr="003F7265">
        <w:rPr>
          <w:rFonts w:ascii="Arial" w:eastAsia="MS Mincho" w:hAnsi="Arial" w:cs="Arial"/>
          <w:bCs/>
          <w:sz w:val="20"/>
          <w:szCs w:val="20"/>
          <w:vertAlign w:val="subscript"/>
        </w:rPr>
        <w:t>L</w:t>
      </w:r>
      <w:proofErr w:type="spellEnd"/>
      <w:r>
        <w:rPr>
          <w:rFonts w:ascii="Arial" w:eastAsia="MS Mincho" w:hAnsi="Arial" w:cs="Arial"/>
          <w:bCs/>
          <w:sz w:val="20"/>
          <w:szCs w:val="20"/>
        </w:rPr>
        <w:t>) semble jouer un rôle prépondérant dans la survie de ce type de lymphome.</w:t>
      </w:r>
    </w:p>
    <w:p w:rsidR="00BC27E1" w:rsidRDefault="00BC27E1" w:rsidP="00BC27E1">
      <w:pPr>
        <w:jc w:val="both"/>
        <w:rPr>
          <w:rFonts w:ascii="Arial" w:eastAsia="MS Mincho" w:hAnsi="Arial" w:cs="Arial"/>
          <w:bCs/>
          <w:sz w:val="20"/>
          <w:szCs w:val="20"/>
        </w:rPr>
      </w:pPr>
    </w:p>
    <w:p w:rsidR="00BC27E1" w:rsidRPr="003F7265" w:rsidRDefault="00BC27E1" w:rsidP="00BC27E1">
      <w:pPr>
        <w:jc w:val="both"/>
        <w:rPr>
          <w:rFonts w:ascii="Arial" w:hAnsi="Arial" w:cs="Arial"/>
          <w:sz w:val="20"/>
          <w:szCs w:val="20"/>
        </w:rPr>
      </w:pPr>
      <w:r>
        <w:rPr>
          <w:rFonts w:ascii="Arial" w:eastAsia="MS Mincho" w:hAnsi="Arial" w:cs="Arial"/>
          <w:bCs/>
          <w:sz w:val="20"/>
          <w:szCs w:val="20"/>
        </w:rPr>
        <w:t>Enfin, une autre partie de nos recherches concerne l’utilisation d’une technique de séquençage haut débit permettant de définir à l’échelle pan-génomique l’état d’ouverture chromatinienne. Cette approche, dite ATAC-</w:t>
      </w:r>
      <w:proofErr w:type="spellStart"/>
      <w:r>
        <w:rPr>
          <w:rFonts w:ascii="Arial" w:eastAsia="MS Mincho" w:hAnsi="Arial" w:cs="Arial"/>
          <w:bCs/>
          <w:sz w:val="20"/>
          <w:szCs w:val="20"/>
        </w:rPr>
        <w:t>seq</w:t>
      </w:r>
      <w:proofErr w:type="spellEnd"/>
      <w:r>
        <w:rPr>
          <w:rFonts w:ascii="Arial" w:eastAsia="MS Mincho" w:hAnsi="Arial" w:cs="Arial"/>
          <w:bCs/>
          <w:sz w:val="20"/>
          <w:szCs w:val="20"/>
        </w:rPr>
        <w:t xml:space="preserve">, permet à partir d’un matériel minime et en moins de 24H de fournir une cartographie épigénétique fiable, reproductible et peu coûteuse d’un type tumoral. Nous développons un large projet basé sur le séquençage et l’analyse par machine </w:t>
      </w:r>
      <w:proofErr w:type="spellStart"/>
      <w:r>
        <w:rPr>
          <w:rFonts w:ascii="Arial" w:eastAsia="MS Mincho" w:hAnsi="Arial" w:cs="Arial"/>
          <w:bCs/>
          <w:sz w:val="20"/>
          <w:szCs w:val="20"/>
        </w:rPr>
        <w:t>learning</w:t>
      </w:r>
      <w:proofErr w:type="spellEnd"/>
      <w:r>
        <w:rPr>
          <w:rFonts w:ascii="Arial" w:eastAsia="MS Mincho" w:hAnsi="Arial" w:cs="Arial"/>
          <w:bCs/>
          <w:sz w:val="20"/>
          <w:szCs w:val="20"/>
        </w:rPr>
        <w:t xml:space="preserve"> de près de 1000 lymphomes T afin d’accélérer le diagnostic et d’affiner le pronostic des patients porteurs de la maladie.</w:t>
      </w:r>
    </w:p>
    <w:p w:rsidR="00E37F8A" w:rsidRPr="00697EC5" w:rsidRDefault="00E37F8A" w:rsidP="00BC27E1">
      <w:pPr>
        <w:jc w:val="both"/>
        <w:rPr>
          <w:rFonts w:ascii="Times" w:hAnsi="Times" w:cs="Times"/>
          <w:b/>
          <w:bCs/>
          <w:color w:val="000000"/>
          <w:sz w:val="32"/>
          <w:szCs w:val="32"/>
        </w:rPr>
      </w:pPr>
      <w:bookmarkStart w:id="0" w:name="_GoBack"/>
      <w:bookmarkEnd w:id="0"/>
    </w:p>
    <w:sectPr w:rsidR="00E37F8A" w:rsidRPr="00697EC5" w:rsidSect="00AB4F09">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Verdana">
    <w:altName w:val="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67BD2"/>
    <w:rsid w:val="000708AE"/>
    <w:rsid w:val="00072DA0"/>
    <w:rsid w:val="00074A4F"/>
    <w:rsid w:val="000B6905"/>
    <w:rsid w:val="000B7E1B"/>
    <w:rsid w:val="000F352B"/>
    <w:rsid w:val="001075EC"/>
    <w:rsid w:val="00117DD6"/>
    <w:rsid w:val="00146287"/>
    <w:rsid w:val="00163F45"/>
    <w:rsid w:val="001A4963"/>
    <w:rsid w:val="001B0AD8"/>
    <w:rsid w:val="001B7BE7"/>
    <w:rsid w:val="001D056E"/>
    <w:rsid w:val="001D2C6A"/>
    <w:rsid w:val="001D37B7"/>
    <w:rsid w:val="001E548A"/>
    <w:rsid w:val="00205C38"/>
    <w:rsid w:val="002408E9"/>
    <w:rsid w:val="002850BB"/>
    <w:rsid w:val="002929D6"/>
    <w:rsid w:val="00294266"/>
    <w:rsid w:val="002B034F"/>
    <w:rsid w:val="002B1910"/>
    <w:rsid w:val="002B47C6"/>
    <w:rsid w:val="002E02BB"/>
    <w:rsid w:val="002F7F56"/>
    <w:rsid w:val="00336DD3"/>
    <w:rsid w:val="00354414"/>
    <w:rsid w:val="00356906"/>
    <w:rsid w:val="003646B1"/>
    <w:rsid w:val="00365B34"/>
    <w:rsid w:val="00367EE7"/>
    <w:rsid w:val="0037264E"/>
    <w:rsid w:val="00383A3C"/>
    <w:rsid w:val="003A70F6"/>
    <w:rsid w:val="003A7E32"/>
    <w:rsid w:val="003F00EA"/>
    <w:rsid w:val="0041031B"/>
    <w:rsid w:val="00410A18"/>
    <w:rsid w:val="00435F0D"/>
    <w:rsid w:val="00476BDB"/>
    <w:rsid w:val="00481E0C"/>
    <w:rsid w:val="00527AF8"/>
    <w:rsid w:val="00561D43"/>
    <w:rsid w:val="0057360F"/>
    <w:rsid w:val="005C5902"/>
    <w:rsid w:val="005C75BA"/>
    <w:rsid w:val="005D5F1F"/>
    <w:rsid w:val="005D7B23"/>
    <w:rsid w:val="005E5D85"/>
    <w:rsid w:val="00637D78"/>
    <w:rsid w:val="00646A44"/>
    <w:rsid w:val="00651668"/>
    <w:rsid w:val="0069053A"/>
    <w:rsid w:val="00692647"/>
    <w:rsid w:val="00697EC5"/>
    <w:rsid w:val="006A446E"/>
    <w:rsid w:val="006B4CEE"/>
    <w:rsid w:val="006E1B0B"/>
    <w:rsid w:val="006E1EEC"/>
    <w:rsid w:val="00703CB9"/>
    <w:rsid w:val="00721976"/>
    <w:rsid w:val="00731A05"/>
    <w:rsid w:val="007455A4"/>
    <w:rsid w:val="00750187"/>
    <w:rsid w:val="007B7B3A"/>
    <w:rsid w:val="007D65CC"/>
    <w:rsid w:val="007D7807"/>
    <w:rsid w:val="007F5381"/>
    <w:rsid w:val="00815A9F"/>
    <w:rsid w:val="00816FCC"/>
    <w:rsid w:val="0083487A"/>
    <w:rsid w:val="00851459"/>
    <w:rsid w:val="008641FB"/>
    <w:rsid w:val="00885B99"/>
    <w:rsid w:val="008B5DE1"/>
    <w:rsid w:val="008F7770"/>
    <w:rsid w:val="009175A0"/>
    <w:rsid w:val="00917691"/>
    <w:rsid w:val="0092478C"/>
    <w:rsid w:val="0093390C"/>
    <w:rsid w:val="009444BE"/>
    <w:rsid w:val="009535DF"/>
    <w:rsid w:val="00955E52"/>
    <w:rsid w:val="00974CF8"/>
    <w:rsid w:val="009B2224"/>
    <w:rsid w:val="009D1C01"/>
    <w:rsid w:val="009E61C4"/>
    <w:rsid w:val="009E6AFF"/>
    <w:rsid w:val="00A04BBE"/>
    <w:rsid w:val="00A07F15"/>
    <w:rsid w:val="00A155DA"/>
    <w:rsid w:val="00A270FE"/>
    <w:rsid w:val="00A61A04"/>
    <w:rsid w:val="00A73ECA"/>
    <w:rsid w:val="00A751CE"/>
    <w:rsid w:val="00A81950"/>
    <w:rsid w:val="00AA5470"/>
    <w:rsid w:val="00AB4F09"/>
    <w:rsid w:val="00AC56BB"/>
    <w:rsid w:val="00AF4B4B"/>
    <w:rsid w:val="00AF5AF8"/>
    <w:rsid w:val="00B01B8C"/>
    <w:rsid w:val="00B1137E"/>
    <w:rsid w:val="00B12235"/>
    <w:rsid w:val="00B6163C"/>
    <w:rsid w:val="00B67051"/>
    <w:rsid w:val="00B75C22"/>
    <w:rsid w:val="00B86671"/>
    <w:rsid w:val="00BA59C0"/>
    <w:rsid w:val="00BC27E1"/>
    <w:rsid w:val="00BE0FCF"/>
    <w:rsid w:val="00C00E65"/>
    <w:rsid w:val="00C104A6"/>
    <w:rsid w:val="00C108CD"/>
    <w:rsid w:val="00C76685"/>
    <w:rsid w:val="00C85D76"/>
    <w:rsid w:val="00CB1ADC"/>
    <w:rsid w:val="00CC01F7"/>
    <w:rsid w:val="00CC1D38"/>
    <w:rsid w:val="00CD3007"/>
    <w:rsid w:val="00CD49CE"/>
    <w:rsid w:val="00CE2E1D"/>
    <w:rsid w:val="00D010FB"/>
    <w:rsid w:val="00D033CD"/>
    <w:rsid w:val="00D21A07"/>
    <w:rsid w:val="00D45245"/>
    <w:rsid w:val="00D7007F"/>
    <w:rsid w:val="00D82370"/>
    <w:rsid w:val="00D95E8B"/>
    <w:rsid w:val="00DA4D61"/>
    <w:rsid w:val="00E24A92"/>
    <w:rsid w:val="00E338A8"/>
    <w:rsid w:val="00E36B06"/>
    <w:rsid w:val="00E37F8A"/>
    <w:rsid w:val="00E40B2D"/>
    <w:rsid w:val="00E6260B"/>
    <w:rsid w:val="00E75B7A"/>
    <w:rsid w:val="00E9542E"/>
    <w:rsid w:val="00E97C26"/>
    <w:rsid w:val="00EB4DB7"/>
    <w:rsid w:val="00EC1734"/>
    <w:rsid w:val="00ED7FB9"/>
    <w:rsid w:val="00EF29E9"/>
    <w:rsid w:val="00F0225F"/>
    <w:rsid w:val="00F22EA1"/>
    <w:rsid w:val="00F338DE"/>
    <w:rsid w:val="00F34D9E"/>
    <w:rsid w:val="00F45459"/>
    <w:rsid w:val="00F64A3D"/>
    <w:rsid w:val="00F651F0"/>
    <w:rsid w:val="00F82A60"/>
    <w:rsid w:val="00FB7524"/>
    <w:rsid w:val="00FB780D"/>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8A6F"/>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Corpsdutexte">
    <w:name w:val="Corps du texte"/>
    <w:basedOn w:val="Normal"/>
    <w:qFormat/>
    <w:rsid w:val="00117DD6"/>
    <w:pPr>
      <w:spacing w:after="60" w:line="360" w:lineRule="auto"/>
      <w:jc w:val="both"/>
    </w:pPr>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 GISELE</dc:creator>
  <cp:lastModifiedBy>BUI-VAN ANNE-MARIE</cp:lastModifiedBy>
  <cp:revision>2</cp:revision>
  <cp:lastPrinted>2018-06-06T06:19:00Z</cp:lastPrinted>
  <dcterms:created xsi:type="dcterms:W3CDTF">2018-12-10T13:36:00Z</dcterms:created>
  <dcterms:modified xsi:type="dcterms:W3CDTF">2018-12-10T13:36:00Z</dcterms:modified>
</cp:coreProperties>
</file>