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414E18">
        <w:rPr>
          <w:rFonts w:ascii="Verdana" w:hAnsi="Verdana"/>
          <w:b/>
        </w:rPr>
        <w:t>18</w:t>
      </w:r>
      <w:r w:rsidR="00D001A0">
        <w:rPr>
          <w:rFonts w:ascii="Verdana" w:hAnsi="Verdana"/>
          <w:b/>
        </w:rPr>
        <w:t xml:space="preserve"> </w:t>
      </w:r>
      <w:r w:rsidR="009B4462">
        <w:rPr>
          <w:rFonts w:ascii="Verdana" w:hAnsi="Verdana"/>
          <w:b/>
        </w:rPr>
        <w:t>octobre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414E18">
        <w:rPr>
          <w:rFonts w:ascii="Verdana" w:hAnsi="Verdana"/>
          <w:b/>
        </w:rPr>
        <w:t>EL MOURIDI Sonia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414E18" w:rsidRPr="00957B30">
        <w:rPr>
          <w:rFonts w:ascii="Verdana" w:hAnsi="Verdana"/>
          <w:noProof/>
          <w:sz w:val="20"/>
          <w:szCs w:val="20"/>
        </w:rPr>
        <w:t>Régulation de l'excitabilité musculaire par le canal potassique EGL-23 et la voie de signalisation LIN-12/Notch chez le nématode Caenorhabditis elegans</w:t>
      </w:r>
      <w:r w:rsidR="00414E18" w:rsidRPr="00F8669B">
        <w:rPr>
          <w:rFonts w:ascii="Verdana" w:hAnsi="Verdana"/>
          <w:i/>
          <w:sz w:val="20"/>
          <w:szCs w:val="20"/>
        </w:rPr>
        <w:t> 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bookmarkStart w:id="0" w:name="_GoBack"/>
      <w:bookmarkEnd w:id="0"/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E18" w:rsidRDefault="00414E18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414E18" w:rsidRDefault="00414E18" w:rsidP="00414E18"/>
    <w:p w:rsidR="00414E18" w:rsidRDefault="00414E18" w:rsidP="00414E18">
      <w:pPr>
        <w:rPr>
          <w:rFonts w:eastAsia="Times New Roman" w:cs="Arial"/>
          <w:color w:val="222222"/>
        </w:rPr>
      </w:pPr>
      <w:r>
        <w:t xml:space="preserve">Les canaux potassiques à deux domaines pore (K2P) sont des régulateurs principaux de l’excitabilité cellulaire car ils jouent un rôle central dans l’établissement et le maintien du potentiel de repos des cellules animales. </w:t>
      </w:r>
      <w:r w:rsidRPr="004D4FDA">
        <w:rPr>
          <w:rFonts w:eastAsia="Times New Roman" w:cs="Arial"/>
          <w:color w:val="222222"/>
        </w:rPr>
        <w:t xml:space="preserve">Malgré leur rôle fondamental, </w:t>
      </w:r>
      <w:r>
        <w:rPr>
          <w:rFonts w:eastAsia="Times New Roman" w:cs="Arial"/>
          <w:color w:val="222222"/>
        </w:rPr>
        <w:t xml:space="preserve">peu d’informations sont connues </w:t>
      </w:r>
      <w:r w:rsidRPr="004D4FDA">
        <w:rPr>
          <w:rFonts w:eastAsia="Times New Roman" w:cs="Arial"/>
          <w:color w:val="222222"/>
        </w:rPr>
        <w:t>sur les processus cellulair</w:t>
      </w:r>
      <w:r>
        <w:rPr>
          <w:rFonts w:eastAsia="Times New Roman" w:cs="Arial"/>
          <w:color w:val="222222"/>
        </w:rPr>
        <w:t xml:space="preserve">es qui contrôlent la fonction des </w:t>
      </w:r>
      <w:r w:rsidRPr="004D4FDA">
        <w:rPr>
          <w:rFonts w:eastAsia="Times New Roman" w:cs="Arial"/>
          <w:color w:val="222222"/>
        </w:rPr>
        <w:t>cana</w:t>
      </w:r>
      <w:r>
        <w:rPr>
          <w:rFonts w:eastAsia="Times New Roman" w:cs="Arial"/>
          <w:color w:val="222222"/>
        </w:rPr>
        <w:t>ux</w:t>
      </w:r>
      <w:r w:rsidRPr="004D4FDA">
        <w:rPr>
          <w:rFonts w:eastAsia="Times New Roman" w:cs="Arial"/>
          <w:color w:val="222222"/>
        </w:rPr>
        <w:t xml:space="preserve"> K2P </w:t>
      </w:r>
      <w:r w:rsidRPr="00CC6B8E">
        <w:rPr>
          <w:rFonts w:eastAsia="Times New Roman" w:cs="Arial"/>
          <w:i/>
          <w:color w:val="222222"/>
        </w:rPr>
        <w:t>in vivo</w:t>
      </w:r>
      <w:r w:rsidRPr="004D4FDA">
        <w:rPr>
          <w:rFonts w:eastAsia="Times New Roman" w:cs="Arial"/>
          <w:color w:val="222222"/>
        </w:rPr>
        <w:t>. En particulier, nous ne connaissons que quelques facteurs qui contrôlent directement le nombre, l’activité et la localisation des K2P à la surface des cellules. </w:t>
      </w:r>
    </w:p>
    <w:p w:rsidR="00414E18" w:rsidRDefault="00414E18" w:rsidP="00414E18"/>
    <w:p w:rsidR="00414E18" w:rsidRPr="00E24521" w:rsidRDefault="00414E18" w:rsidP="00414E18">
      <w:r>
        <w:t>Durant ma thèse, j’ai utilisé des stratégies d’ingénierie du génome que j’ai associé à des approches génétiques afin de caractériser le canal potassique EGL-23. Pour cela</w:t>
      </w:r>
      <w:r w:rsidRPr="004D4FDA">
        <w:rPr>
          <w:rFonts w:eastAsia="Times New Roman" w:cs="Arial"/>
          <w:color w:val="222222"/>
        </w:rPr>
        <w:t xml:space="preserve">, </w:t>
      </w:r>
      <w:r>
        <w:rPr>
          <w:rFonts w:eastAsia="Times New Roman" w:cs="Arial"/>
          <w:color w:val="222222"/>
        </w:rPr>
        <w:t xml:space="preserve">j’ai réalisé un crible suppresseur du phénotype de défaut de ponte du mutant </w:t>
      </w:r>
      <w:r w:rsidRPr="00E9234C">
        <w:rPr>
          <w:rFonts w:eastAsia="Times New Roman" w:cs="Arial"/>
          <w:i/>
          <w:color w:val="222222"/>
        </w:rPr>
        <w:t>egl-23(n601)</w:t>
      </w:r>
      <w:r>
        <w:rPr>
          <w:rFonts w:eastAsia="Times New Roman" w:cs="Arial"/>
          <w:color w:val="222222"/>
        </w:rPr>
        <w:t xml:space="preserve"> et un crible visuel sur le rapporteur fluorescent traductionnel </w:t>
      </w:r>
      <w:r>
        <w:rPr>
          <w:rFonts w:eastAsia="Times New Roman" w:cs="Arial"/>
          <w:i/>
          <w:color w:val="222222"/>
        </w:rPr>
        <w:t>egl-</w:t>
      </w:r>
      <w:proofErr w:type="gramStart"/>
      <w:r>
        <w:rPr>
          <w:rFonts w:eastAsia="Times New Roman" w:cs="Arial"/>
          <w:i/>
          <w:color w:val="222222"/>
        </w:rPr>
        <w:t>23</w:t>
      </w:r>
      <w:r w:rsidRPr="00E9234C">
        <w:rPr>
          <w:rFonts w:eastAsia="Times New Roman" w:cs="Arial"/>
          <w:i/>
          <w:color w:val="222222"/>
        </w:rPr>
        <w:t>::</w:t>
      </w:r>
      <w:proofErr w:type="spellStart"/>
      <w:proofErr w:type="gramEnd"/>
      <w:r w:rsidRPr="00E9234C">
        <w:rPr>
          <w:rFonts w:eastAsia="Times New Roman" w:cs="Arial"/>
          <w:i/>
          <w:color w:val="222222"/>
        </w:rPr>
        <w:t>TagRFP</w:t>
      </w:r>
      <w:proofErr w:type="spellEnd"/>
      <w:r w:rsidRPr="00E9234C">
        <w:rPr>
          <w:rFonts w:eastAsia="Times New Roman" w:cs="Arial"/>
          <w:i/>
          <w:color w:val="222222"/>
        </w:rPr>
        <w:t>-T</w:t>
      </w:r>
      <w:r>
        <w:rPr>
          <w:rFonts w:eastAsia="Times New Roman" w:cs="Arial"/>
          <w:color w:val="222222"/>
        </w:rPr>
        <w:t xml:space="preserve">. Grâce au </w:t>
      </w:r>
      <w:proofErr w:type="spellStart"/>
      <w:r>
        <w:rPr>
          <w:rFonts w:eastAsia="Times New Roman" w:cs="Arial"/>
          <w:color w:val="222222"/>
        </w:rPr>
        <w:t>reséquençage</w:t>
      </w:r>
      <w:proofErr w:type="spellEnd"/>
      <w:r>
        <w:rPr>
          <w:rFonts w:eastAsia="Times New Roman" w:cs="Arial"/>
          <w:color w:val="222222"/>
        </w:rPr>
        <w:t xml:space="preserve"> complet du génome, j’ai pu cloner 4 gènes impliqués dans la régulation du canal EGL-23. Trois gènes identifiés font partie de la voie de signalisation </w:t>
      </w:r>
      <w:proofErr w:type="spellStart"/>
      <w:r>
        <w:rPr>
          <w:rFonts w:eastAsia="Times New Roman" w:cs="Arial"/>
          <w:color w:val="222222"/>
        </w:rPr>
        <w:t>Notch</w:t>
      </w:r>
      <w:proofErr w:type="spellEnd"/>
      <w:r>
        <w:rPr>
          <w:rFonts w:eastAsia="Times New Roman" w:cs="Arial"/>
          <w:color w:val="222222"/>
        </w:rPr>
        <w:t xml:space="preserve"> : (1) </w:t>
      </w:r>
      <w:r w:rsidRPr="00E24521">
        <w:rPr>
          <w:rFonts w:eastAsia="Times New Roman" w:cs="Arial"/>
          <w:i/>
          <w:color w:val="222222"/>
        </w:rPr>
        <w:t>apx-1/DSL</w:t>
      </w:r>
      <w:r>
        <w:rPr>
          <w:rFonts w:eastAsia="Times New Roman" w:cs="Arial"/>
          <w:color w:val="222222"/>
        </w:rPr>
        <w:t xml:space="preserve"> un ligand de, (2) </w:t>
      </w:r>
      <w:r w:rsidRPr="00E24521">
        <w:rPr>
          <w:rFonts w:eastAsia="Times New Roman" w:cs="Arial"/>
          <w:i/>
          <w:color w:val="222222"/>
        </w:rPr>
        <w:t>lin-12/</w:t>
      </w:r>
      <w:proofErr w:type="spellStart"/>
      <w:r w:rsidRPr="00E24521">
        <w:rPr>
          <w:rFonts w:eastAsia="Times New Roman" w:cs="Arial"/>
          <w:i/>
          <w:color w:val="222222"/>
        </w:rPr>
        <w:t>Notch</w:t>
      </w:r>
      <w:proofErr w:type="spellEnd"/>
      <w:r>
        <w:rPr>
          <w:rFonts w:eastAsia="Times New Roman" w:cs="Arial"/>
          <w:color w:val="222222"/>
        </w:rPr>
        <w:t xml:space="preserve"> son récepteur et (3) </w:t>
      </w:r>
      <w:r w:rsidRPr="00E24521">
        <w:rPr>
          <w:rFonts w:eastAsia="Times New Roman" w:cs="Arial"/>
          <w:i/>
          <w:color w:val="222222"/>
        </w:rPr>
        <w:t>sel-12/</w:t>
      </w:r>
      <w:proofErr w:type="spellStart"/>
      <w:r w:rsidRPr="00E24521">
        <w:rPr>
          <w:rFonts w:eastAsia="Times New Roman" w:cs="Arial"/>
          <w:i/>
          <w:color w:val="222222"/>
        </w:rPr>
        <w:t>présénilin</w:t>
      </w:r>
      <w:proofErr w:type="spellEnd"/>
      <w:r>
        <w:rPr>
          <w:rFonts w:eastAsia="Times New Roman" w:cs="Arial"/>
          <w:color w:val="222222"/>
        </w:rPr>
        <w:t xml:space="preserve"> la</w:t>
      </w:r>
      <w:r w:rsidRPr="00E24521">
        <w:t xml:space="preserve"> </w:t>
      </w:r>
      <w:r w:rsidRPr="00E24521">
        <w:sym w:font="Symbol" w:char="F067"/>
      </w:r>
      <w:r w:rsidRPr="00E24521">
        <w:t>-</w:t>
      </w:r>
      <w:proofErr w:type="spellStart"/>
      <w:r w:rsidRPr="00E24521">
        <w:t>sécrétase</w:t>
      </w:r>
      <w:proofErr w:type="spellEnd"/>
      <w:r w:rsidRPr="00E24521">
        <w:t xml:space="preserve"> qui</w:t>
      </w:r>
      <w:r>
        <w:t xml:space="preserve"> clive LIN-12 pour activer la cascade </w:t>
      </w:r>
      <w:proofErr w:type="spellStart"/>
      <w:r>
        <w:t>transcriptionnelle</w:t>
      </w:r>
      <w:proofErr w:type="spellEnd"/>
      <w:r>
        <w:t xml:space="preserve"> en aval. J’ai également trouvé deux allèles de la protéine </w:t>
      </w:r>
      <w:proofErr w:type="spellStart"/>
      <w:r>
        <w:t>multidomaine</w:t>
      </w:r>
      <w:proofErr w:type="spellEnd"/>
      <w:r>
        <w:t xml:space="preserve"> </w:t>
      </w:r>
      <w:r w:rsidRPr="00EC2CAE">
        <w:rPr>
          <w:i/>
        </w:rPr>
        <w:t>sel-2/</w:t>
      </w:r>
      <w:proofErr w:type="spellStart"/>
      <w:r w:rsidRPr="00EC2CAE">
        <w:rPr>
          <w:i/>
        </w:rPr>
        <w:t>Neurobeachin</w:t>
      </w:r>
      <w:proofErr w:type="spellEnd"/>
      <w:r>
        <w:t xml:space="preserve"> (</w:t>
      </w:r>
      <w:proofErr w:type="spellStart"/>
      <w:r>
        <w:t>Nbea</w:t>
      </w:r>
      <w:proofErr w:type="spellEnd"/>
      <w:r>
        <w:t xml:space="preserve">), un régulateur négatif de la voie </w:t>
      </w:r>
      <w:proofErr w:type="spellStart"/>
      <w:r>
        <w:t>Notch</w:t>
      </w:r>
      <w:proofErr w:type="spellEnd"/>
      <w:r>
        <w:t xml:space="preserve">. </w:t>
      </w:r>
    </w:p>
    <w:p w:rsidR="00414E18" w:rsidRDefault="00414E18" w:rsidP="00414E18">
      <w:pPr>
        <w:rPr>
          <w:rFonts w:eastAsia="Times New Roman" w:cs="Arial"/>
          <w:color w:val="222222"/>
        </w:rPr>
      </w:pPr>
    </w:p>
    <w:p w:rsidR="00414E18" w:rsidRPr="00CC6B8E" w:rsidRDefault="00414E18" w:rsidP="00414E18">
      <w:r>
        <w:t>Durant ma thèse, j’ai démontré que (1) la voie de signalisation LIN-12/</w:t>
      </w:r>
      <w:proofErr w:type="spellStart"/>
      <w:r>
        <w:t>Notch</w:t>
      </w:r>
      <w:proofErr w:type="spellEnd"/>
      <w:r>
        <w:t xml:space="preserve"> régule de façon directe et spécifique l’expression du canal </w:t>
      </w:r>
      <w:r w:rsidRPr="006D5049">
        <w:rPr>
          <w:i/>
        </w:rPr>
        <w:t>egl-23</w:t>
      </w:r>
      <w:r>
        <w:t xml:space="preserve"> dans les muscles de la vulve vm2 ; (2) </w:t>
      </w:r>
      <w:r w:rsidRPr="001E464A">
        <w:rPr>
          <w:i/>
        </w:rPr>
        <w:t>sel-2/</w:t>
      </w:r>
      <w:proofErr w:type="spellStart"/>
      <w:r w:rsidRPr="001E464A">
        <w:rPr>
          <w:i/>
        </w:rPr>
        <w:t>Nbea</w:t>
      </w:r>
      <w:proofErr w:type="spellEnd"/>
      <w:r>
        <w:t xml:space="preserve"> régule le nombre de canaux EGL-23</w:t>
      </w:r>
      <w:r w:rsidRPr="00EC2CAE">
        <w:rPr>
          <w:i/>
        </w:rPr>
        <w:t xml:space="preserve"> </w:t>
      </w:r>
      <w:r>
        <w:t xml:space="preserve">dans les neurones ; (3) la </w:t>
      </w:r>
      <w:proofErr w:type="spellStart"/>
      <w:r>
        <w:t>préséniline</w:t>
      </w:r>
      <w:proofErr w:type="spellEnd"/>
      <w:r>
        <w:t xml:space="preserve"> SEL-12 peut servir de modèle pour évaluer la pathogénicité des </w:t>
      </w:r>
      <w:proofErr w:type="spellStart"/>
      <w:r>
        <w:t>variants</w:t>
      </w:r>
      <w:proofErr w:type="spellEnd"/>
      <w:r>
        <w:t xml:space="preserve"> humains de la </w:t>
      </w:r>
      <w:proofErr w:type="spellStart"/>
      <w:r>
        <w:t>préséniline</w:t>
      </w:r>
      <w:proofErr w:type="spellEnd"/>
      <w:r>
        <w:t>, révélant ainsi des mutations pouvant contribuer au développement de la maladie d’Alzheimer.</w:t>
      </w:r>
    </w:p>
    <w:p w:rsidR="00460E84" w:rsidRPr="00721CB1" w:rsidRDefault="00460E84" w:rsidP="00414E18">
      <w:pPr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14E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B4462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0772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AAAE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2</cp:revision>
  <cp:lastPrinted>2018-05-23T11:54:00Z</cp:lastPrinted>
  <dcterms:created xsi:type="dcterms:W3CDTF">2018-10-04T14:59:00Z</dcterms:created>
  <dcterms:modified xsi:type="dcterms:W3CDTF">2018-10-04T14:59:00Z</dcterms:modified>
</cp:coreProperties>
</file>