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A685" w14:textId="77777777" w:rsidR="00EC610C" w:rsidRDefault="00EC610C" w:rsidP="00EC610C">
      <w:pPr>
        <w:jc w:val="center"/>
      </w:pPr>
      <w:bookmarkStart w:id="0" w:name="_GoBack"/>
      <w:bookmarkEnd w:id="0"/>
    </w:p>
    <w:p w14:paraId="5D696DEC" w14:textId="77777777" w:rsidR="00F5784F" w:rsidRDefault="00F5784F" w:rsidP="00EC610C">
      <w:pPr>
        <w:jc w:val="center"/>
      </w:pPr>
    </w:p>
    <w:tbl>
      <w:tblPr>
        <w:tblW w:w="11188" w:type="dxa"/>
        <w:tblInd w:w="392" w:type="dxa"/>
        <w:tblLayout w:type="fixed"/>
        <w:tblLook w:val="04A0" w:firstRow="1" w:lastRow="0" w:firstColumn="1" w:lastColumn="0" w:noHBand="0" w:noVBand="1"/>
      </w:tblPr>
      <w:tblGrid>
        <w:gridCol w:w="1276"/>
        <w:gridCol w:w="843"/>
        <w:gridCol w:w="149"/>
        <w:gridCol w:w="1559"/>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2E486B">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4BA15569" w:rsidR="00F17BB5" w:rsidRDefault="00172FEB" w:rsidP="002E486B">
            <w:pPr>
              <w:jc w:val="center"/>
              <w:rPr>
                <w:rFonts w:ascii="Calibri" w:eastAsia="Times New Roman" w:hAnsi="Calibri" w:cs="Times New Roman"/>
                <w:b/>
                <w:bCs/>
                <w:color w:val="000000"/>
                <w:sz w:val="16"/>
                <w:szCs w:val="16"/>
                <w:lang w:val="en-GB" w:eastAsia="en-GB"/>
              </w:rPr>
            </w:pPr>
            <w:r w:rsidRPr="001B4435">
              <w:rPr>
                <w:rFonts w:ascii="Calibri" w:eastAsia="Times New Roman" w:hAnsi="Calibri" w:cs="Times New Roman"/>
                <w:b/>
                <w:bCs/>
                <w:color w:val="000000"/>
                <w:sz w:val="16"/>
                <w:szCs w:val="16"/>
                <w:lang w:eastAsia="en-GB"/>
              </w:rPr>
              <w:br w:type="page"/>
            </w:r>
            <w:r w:rsidR="002C113F">
              <w:rPr>
                <w:rFonts w:ascii="Calibri" w:eastAsia="Times New Roman" w:hAnsi="Calibri" w:cs="Times New Roman"/>
                <w:b/>
                <w:bCs/>
                <w:color w:val="000000"/>
                <w:sz w:val="16"/>
                <w:szCs w:val="16"/>
                <w:lang w:val="en-GB" w:eastAsia="en-GB"/>
              </w:rPr>
              <w:t>S</w:t>
            </w:r>
            <w:r w:rsidR="00F17BB5" w:rsidRPr="002A00C3">
              <w:rPr>
                <w:rFonts w:ascii="Calibri" w:eastAsia="Times New Roman" w:hAnsi="Calibri" w:cs="Times New Roman"/>
                <w:b/>
                <w:bCs/>
                <w:color w:val="000000"/>
                <w:sz w:val="16"/>
                <w:szCs w:val="16"/>
                <w:lang w:val="en-GB" w:eastAsia="en-GB"/>
              </w:rPr>
              <w:t>tudent</w:t>
            </w:r>
          </w:p>
          <w:p w14:paraId="60EC8CD6"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Etudiant</w:t>
            </w:r>
            <w:proofErr w:type="spellEnd"/>
          </w:p>
          <w:p w14:paraId="6DE3E746"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Prénom</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Nationalité</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Sexe</w:t>
            </w:r>
            <w:proofErr w:type="spellEnd"/>
            <w:r w:rsidRPr="00B06E40">
              <w:rPr>
                <w:rFonts w:ascii="Calibri" w:eastAsia="Times New Roman" w:hAnsi="Calibri" w:cs="Times New Roman"/>
                <w:b/>
                <w:bCs/>
                <w:color w:val="548DD4" w:themeColor="text2" w:themeTint="99"/>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2E486B">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 xml:space="preserve">Cycle </w:t>
            </w:r>
            <w:proofErr w:type="spellStart"/>
            <w:r w:rsidRPr="00B06E40">
              <w:rPr>
                <w:rFonts w:ascii="Calibri" w:eastAsia="Times New Roman" w:hAnsi="Calibri" w:cs="Times New Roman"/>
                <w:b/>
                <w:bCs/>
                <w:color w:val="548DD4" w:themeColor="text2" w:themeTint="99"/>
                <w:sz w:val="16"/>
                <w:szCs w:val="16"/>
                <w:lang w:val="en-GB" w:eastAsia="en-GB"/>
              </w:rPr>
              <w:t>d’études</w:t>
            </w:r>
            <w:proofErr w:type="spellEnd"/>
          </w:p>
          <w:p w14:paraId="17ED0A8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p w14:paraId="30EA1CA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2E486B">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2E486B">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2E486B">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r>
      <w:tr w:rsidR="00F17BB5" w:rsidRPr="002A00C3" w14:paraId="6146F34B" w14:textId="77777777" w:rsidTr="002E486B">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w:t>
            </w:r>
            <w:r>
              <w:rPr>
                <w:rFonts w:ascii="Calibri" w:eastAsia="Times New Roman" w:hAnsi="Calibri" w:cs="Times New Roman"/>
                <w:b/>
                <w:bCs/>
                <w:color w:val="548DD4" w:themeColor="text2" w:themeTint="99"/>
                <w:sz w:val="16"/>
                <w:szCs w:val="16"/>
                <w:lang w:val="en-GB" w:eastAsia="en-GB"/>
              </w:rPr>
              <w:t>i</w:t>
            </w:r>
            <w:proofErr w:type="spellEnd"/>
          </w:p>
          <w:p w14:paraId="1E7A220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52735C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xml:space="preserve">; </w:t>
            </w:r>
            <w:proofErr w:type="gramStart"/>
            <w:r w:rsidRPr="00BE57BD">
              <w:rPr>
                <w:rFonts w:ascii="Calibri" w:eastAsia="Times New Roman" w:hAnsi="Calibri" w:cs="Times New Roman"/>
                <w:b/>
                <w:bCs/>
                <w:color w:val="000000"/>
                <w:sz w:val="16"/>
                <w:szCs w:val="16"/>
                <w:lang w:eastAsia="en-GB"/>
              </w:rPr>
              <w:t>email;</w:t>
            </w:r>
            <w:proofErr w:type="gramEnd"/>
            <w:r w:rsidRPr="00BE57BD">
              <w:rPr>
                <w:rFonts w:ascii="Calibri" w:eastAsia="Times New Roman" w:hAnsi="Calibri" w:cs="Times New Roman"/>
                <w:b/>
                <w:bCs/>
                <w:color w:val="000000"/>
                <w:sz w:val="16"/>
                <w:szCs w:val="16"/>
                <w:lang w:eastAsia="en-GB"/>
              </w:rPr>
              <w:t xml:space="preserve"> phone</w:t>
            </w:r>
          </w:p>
          <w:p w14:paraId="4E4FAA5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2E486B">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2E486B">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184761C9"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7F0981"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9C572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C8635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7B0EF"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16BA0BC" w14:textId="77777777" w:rsidR="00F17BB5" w:rsidRPr="00415074" w:rsidRDefault="00F17BB5" w:rsidP="002E486B">
            <w:pPr>
              <w:jc w:val="center"/>
              <w:rPr>
                <w:rFonts w:ascii="Calibri" w:eastAsia="Times New Roman" w:hAnsi="Calibri" w:cs="Times New Roman"/>
                <w:color w:val="000000"/>
                <w:sz w:val="16"/>
                <w:szCs w:val="16"/>
                <w:lang w:eastAsia="en-GB"/>
              </w:rPr>
            </w:pPr>
          </w:p>
        </w:tc>
      </w:tr>
      <w:tr w:rsidR="00F17BB5" w:rsidRPr="002A00C3" w14:paraId="0EFBA473" w14:textId="77777777" w:rsidTr="002E486B">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6DB52EF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708A17B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proofErr w:type="gramStart"/>
            <w:r w:rsidRPr="00BE57BD">
              <w:rPr>
                <w:rFonts w:ascii="Calibri" w:eastAsia="Times New Roman" w:hAnsi="Calibri" w:cs="Times New Roman"/>
                <w:b/>
                <w:bCs/>
                <w:color w:val="000000"/>
                <w:sz w:val="16"/>
                <w:szCs w:val="16"/>
                <w:lang w:eastAsia="en-GB"/>
              </w:rPr>
              <w:t>name</w:t>
            </w:r>
            <w:proofErr w:type="spellEnd"/>
            <w:r w:rsidRPr="00BE57BD">
              <w:rPr>
                <w:rFonts w:ascii="Calibri" w:eastAsia="Times New Roman" w:hAnsi="Calibri" w:cs="Times New Roman"/>
                <w:b/>
                <w:bCs/>
                <w:color w:val="000000"/>
                <w:sz w:val="16"/>
                <w:szCs w:val="16"/>
                <w:lang w:eastAsia="en-GB"/>
              </w:rPr>
              <w:t>;</w:t>
            </w:r>
            <w:proofErr w:type="gramEnd"/>
            <w:r w:rsidRPr="00BE57BD">
              <w:rPr>
                <w:rFonts w:ascii="Calibri" w:eastAsia="Times New Roman" w:hAnsi="Calibri" w:cs="Times New Roman"/>
                <w:b/>
                <w:bCs/>
                <w:color w:val="000000"/>
                <w:sz w:val="16"/>
                <w:szCs w:val="16"/>
                <w:lang w:eastAsia="en-GB"/>
              </w:rPr>
              <w:t xml:space="preserve"> email; phone</w:t>
            </w:r>
          </w:p>
          <w:p w14:paraId="50D1782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65A9B979" w14:textId="77777777" w:rsidTr="002E486B">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F17BB5" w:rsidRPr="00415074" w:rsidRDefault="00F17BB5" w:rsidP="002E486B">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4E406479"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5B6262"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D9F6B6"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DA64ED" w14:textId="77777777" w:rsidR="00F17BB5" w:rsidRPr="00415074" w:rsidRDefault="00F17BB5" w:rsidP="002E486B">
            <w:pPr>
              <w:jc w:val="center"/>
              <w:rPr>
                <w:rFonts w:ascii="Calibri" w:eastAsia="Times New Roman" w:hAnsi="Calibri" w:cs="Times New Roman"/>
                <w:color w:val="000000"/>
                <w:sz w:val="16"/>
                <w:szCs w:val="16"/>
                <w:lang w:eastAsia="en-GB"/>
              </w:rPr>
            </w:pPr>
          </w:p>
          <w:p w14:paraId="285EDCDF"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4C2BC1"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3775AA" w14:textId="77777777" w:rsidR="00F17BB5" w:rsidRPr="00415074" w:rsidRDefault="00F17BB5" w:rsidP="002E486B">
            <w:pPr>
              <w:jc w:val="center"/>
              <w:rPr>
                <w:rFonts w:ascii="Calibri" w:eastAsia="Times New Roman" w:hAnsi="Calibri" w:cs="Times New Roman"/>
                <w:color w:val="000000"/>
                <w:sz w:val="16"/>
                <w:szCs w:val="16"/>
                <w:lang w:eastAsia="en-GB"/>
              </w:rPr>
            </w:pPr>
          </w:p>
        </w:tc>
      </w:tr>
      <w:tr w:rsidR="00F17BB5" w:rsidRPr="002A00C3" w14:paraId="4CB3E308" w14:textId="77777777" w:rsidTr="002E486B">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F17BB5" w:rsidRPr="00415074" w:rsidRDefault="00F17BB5" w:rsidP="002E486B">
            <w:pPr>
              <w:rPr>
                <w:rFonts w:ascii="Calibri" w:eastAsia="Times New Roman" w:hAnsi="Calibri" w:cs="Times New Roman"/>
                <w:color w:val="000000"/>
                <w:sz w:val="16"/>
                <w:szCs w:val="16"/>
                <w:lang w:eastAsia="en-GB"/>
              </w:rPr>
            </w:pPr>
          </w:p>
          <w:p w14:paraId="35B6B195" w14:textId="77777777" w:rsidR="00F17BB5" w:rsidRPr="00614CBE" w:rsidRDefault="00F17BB5" w:rsidP="002E486B">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 xml:space="preserve">Avant la </w:t>
            </w:r>
            <w:proofErr w:type="spellStart"/>
            <w:r w:rsidRPr="00614CBE">
              <w:rPr>
                <w:rFonts w:ascii="Calibri" w:eastAsia="Times New Roman" w:hAnsi="Calibri" w:cs="Times New Roman"/>
                <w:b/>
                <w:bCs/>
                <w:color w:val="548DD4" w:themeColor="text2" w:themeTint="99"/>
                <w:lang w:val="en-GB" w:eastAsia="en-GB"/>
              </w:rPr>
              <w:t>mobilité</w:t>
            </w:r>
            <w:proofErr w:type="spellEnd"/>
          </w:p>
          <w:p w14:paraId="3CC78130"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r>
      <w:tr w:rsidR="00F17BB5" w:rsidRPr="0089462B" w14:paraId="6F54DC5D" w14:textId="77777777" w:rsidTr="002E486B">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F17BB5" w:rsidRDefault="00F17BB5" w:rsidP="00962C45">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F17BB5" w:rsidRPr="00FF18B2" w:rsidRDefault="00F17BB5" w:rsidP="00962C45">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F17BB5" w:rsidRDefault="00F17BB5" w:rsidP="00962C45">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Planned period of the </w:t>
            </w:r>
            <w:proofErr w:type="gramStart"/>
            <w:r w:rsidRPr="002A00C3">
              <w:rPr>
                <w:rFonts w:ascii="Calibri" w:eastAsia="Times New Roman" w:hAnsi="Calibri" w:cs="Times New Roman"/>
                <w:b/>
                <w:bCs/>
                <w:iCs/>
                <w:color w:val="000000"/>
                <w:sz w:val="16"/>
                <w:szCs w:val="16"/>
                <w:lang w:val="en-GB" w:eastAsia="en-GB"/>
              </w:rPr>
              <w:t>mobility</w:t>
            </w:r>
            <w:r>
              <w:rPr>
                <w:rFonts w:ascii="Calibri" w:eastAsia="Times New Roman" w:hAnsi="Calibri" w:cs="Times New Roman"/>
                <w:b/>
                <w:bCs/>
                <w:iCs/>
                <w:color w:val="000000"/>
                <w:sz w:val="16"/>
                <w:szCs w:val="16"/>
                <w:lang w:val="en-GB" w:eastAsia="en-GB"/>
              </w:rPr>
              <w:t xml:space="preserve"> :</w:t>
            </w:r>
            <w:proofErr w:type="gramEnd"/>
            <w:r>
              <w:rPr>
                <w:rFonts w:ascii="Calibri" w:eastAsia="Times New Roman" w:hAnsi="Calibri" w:cs="Times New Roman"/>
                <w:b/>
                <w:bCs/>
                <w:iCs/>
                <w:color w:val="000000"/>
                <w:sz w:val="16"/>
                <w:szCs w:val="16"/>
                <w:lang w:val="en-GB" w:eastAsia="en-GB"/>
              </w:rPr>
              <w:t xml:space="preserve">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w:t>
            </w:r>
            <w:proofErr w:type="gramStart"/>
            <w:r>
              <w:rPr>
                <w:rFonts w:ascii="Calibri" w:eastAsia="Times New Roman" w:hAnsi="Calibri" w:cs="Times New Roman"/>
                <w:b/>
                <w:bCs/>
                <w:iCs/>
                <w:color w:val="000000"/>
                <w:sz w:val="16"/>
                <w:szCs w:val="16"/>
                <w:lang w:val="en-GB" w:eastAsia="en-GB"/>
              </w:rPr>
              <w:t>year]</w:t>
            </w:r>
            <w:r w:rsidRPr="002A00C3">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F17BB5" w:rsidRPr="00FF18B2" w:rsidRDefault="00F17BB5" w:rsidP="00962C45">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w:t>
            </w:r>
            <w:proofErr w:type="gramStart"/>
            <w:r>
              <w:rPr>
                <w:rFonts w:ascii="Calibri" w:hAnsi="Calibri"/>
                <w:b/>
                <w:bCs/>
                <w:iCs/>
                <w:color w:val="548DD4" w:themeColor="text2" w:themeTint="99"/>
                <w:sz w:val="16"/>
                <w:szCs w:val="16"/>
                <w:lang w:eastAsia="en-GB"/>
              </w:rPr>
              <w:t>année]</w:t>
            </w:r>
            <w:r w:rsidRPr="00373894">
              <w:rPr>
                <w:rFonts w:ascii="Calibri" w:hAnsi="Calibri"/>
                <w:b/>
                <w:bCs/>
                <w:iCs/>
                <w:color w:val="548DD4" w:themeColor="text2" w:themeTint="99"/>
                <w:sz w:val="16"/>
                <w:szCs w:val="16"/>
                <w:lang w:eastAsia="en-GB"/>
              </w:rPr>
              <w:t>…</w:t>
            </w:r>
            <w:proofErr w:type="gramEnd"/>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F17BB5" w:rsidRPr="0089462B" w14:paraId="5BEEDD5C" w14:textId="77777777" w:rsidTr="002E486B">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F17BB5" w:rsidRPr="00614CBE" w:rsidRDefault="00F17BB5" w:rsidP="002E486B">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F17BB5" w:rsidRPr="00E8569C" w:rsidRDefault="00F17BB5" w:rsidP="002E486B">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 xml:space="preserve">(if </w:t>
            </w:r>
            <w:proofErr w:type="spellStart"/>
            <w:r w:rsidRPr="00E8569C">
              <w:rPr>
                <w:rFonts w:ascii="Calibri" w:eastAsia="Times New Roman" w:hAnsi="Calibri" w:cs="Times New Roman"/>
                <w:bCs/>
                <w:color w:val="000000"/>
                <w:sz w:val="14"/>
                <w:szCs w:val="14"/>
                <w:lang w:eastAsia="en-GB"/>
              </w:rPr>
              <w:t>any</w:t>
            </w:r>
            <w:proofErr w:type="spellEnd"/>
            <w:r w:rsidRPr="00E8569C">
              <w:rPr>
                <w:rFonts w:ascii="Calibri" w:eastAsia="Times New Roman" w:hAnsi="Calibri" w:cs="Times New Roman"/>
                <w:bCs/>
                <w:color w:val="000000"/>
                <w:sz w:val="14"/>
                <w:szCs w:val="14"/>
                <w:lang w:eastAsia="en-GB"/>
              </w:rPr>
              <w:t>)</w:t>
            </w:r>
          </w:p>
          <w:p w14:paraId="59CBCA6F" w14:textId="77777777" w:rsidR="00F17BB5" w:rsidRPr="00E8569C" w:rsidRDefault="00F17BB5" w:rsidP="002E486B">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w:t>
            </w:r>
            <w:proofErr w:type="gramStart"/>
            <w:r w:rsidRPr="00E8569C">
              <w:rPr>
                <w:rFonts w:ascii="Calibri" w:eastAsia="Times New Roman" w:hAnsi="Calibri" w:cs="Times New Roman"/>
                <w:b/>
                <w:bCs/>
                <w:color w:val="548DD4" w:themeColor="text2" w:themeTint="99"/>
                <w:sz w:val="14"/>
                <w:szCs w:val="14"/>
                <w:lang w:eastAsia="en-GB"/>
              </w:rPr>
              <w:t>si</w:t>
            </w:r>
            <w:proofErr w:type="gramEnd"/>
            <w:r w:rsidRPr="00E8569C">
              <w:rPr>
                <w:rFonts w:ascii="Calibri" w:eastAsia="Times New Roman" w:hAnsi="Calibri" w:cs="Times New Roman"/>
                <w:b/>
                <w:bCs/>
                <w:color w:val="548DD4" w:themeColor="text2" w:themeTint="99"/>
                <w:sz w:val="14"/>
                <w:szCs w:val="14"/>
                <w:lang w:eastAsia="en-GB"/>
              </w:rPr>
              <w:t xml:space="preserve"> existant)</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F17BB5" w:rsidRPr="009B6C89" w:rsidRDefault="00F17BB5" w:rsidP="002E486B">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F17BB5" w:rsidRDefault="00F17BB5" w:rsidP="002E486B">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F17BB5" w:rsidRDefault="00F17BB5" w:rsidP="002E486B">
            <w:pPr>
              <w:jc w:val="center"/>
              <w:rPr>
                <w:rFonts w:ascii="Calibri" w:eastAsia="Times New Roman" w:hAnsi="Calibri" w:cs="Times New Roman"/>
                <w:bCs/>
                <w:color w:val="548DD4" w:themeColor="text2" w:themeTint="99"/>
                <w:sz w:val="16"/>
                <w:szCs w:val="16"/>
                <w:lang w:eastAsia="en-GB"/>
              </w:rPr>
            </w:pPr>
            <w:proofErr w:type="gramStart"/>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roofErr w:type="gramEnd"/>
          </w:p>
          <w:p w14:paraId="3513DB6F" w14:textId="77777777" w:rsidR="00F17BB5" w:rsidRPr="009B6C89" w:rsidRDefault="00F17BB5" w:rsidP="002E486B">
            <w:pPr>
              <w:jc w:val="center"/>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Cs/>
                <w:color w:val="548DD4" w:themeColor="text2" w:themeTint="99"/>
                <w:sz w:val="16"/>
                <w:szCs w:val="16"/>
                <w:lang w:eastAsia="en-GB"/>
              </w:rPr>
              <w:t>trimestre</w:t>
            </w:r>
            <w:proofErr w:type="gramEnd"/>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F17BB5" w:rsidRPr="0089462B" w14:paraId="1BE1AE5E" w14:textId="77777777" w:rsidTr="002E486B">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hideMark/>
          </w:tcPr>
          <w:p w14:paraId="53F24945" w14:textId="77777777" w:rsidR="00F17BB5" w:rsidRPr="00E8569C" w:rsidRDefault="00F17BB5" w:rsidP="002E486B">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nil"/>
              <w:left w:val="nil"/>
              <w:bottom w:val="nil"/>
              <w:right w:val="single" w:sz="8" w:space="0" w:color="auto"/>
            </w:tcBorders>
            <w:shd w:val="clear" w:color="auto" w:fill="auto"/>
            <w:vAlign w:val="center"/>
            <w:hideMark/>
          </w:tcPr>
          <w:p w14:paraId="10F1AC05"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60E807"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B20E76"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61C87833" w14:textId="77777777" w:rsidTr="002E486B">
        <w:trPr>
          <w:gridAfter w:val="1"/>
          <w:wAfter w:w="132" w:type="dxa"/>
          <w:trHeight w:val="119"/>
        </w:trPr>
        <w:tc>
          <w:tcPr>
            <w:tcW w:w="1276" w:type="dxa"/>
            <w:tcBorders>
              <w:top w:val="nil"/>
              <w:left w:val="double" w:sz="6" w:space="0" w:color="auto"/>
              <w:bottom w:val="nil"/>
              <w:right w:val="nil"/>
            </w:tcBorders>
            <w:shd w:val="clear" w:color="auto" w:fill="auto"/>
            <w:noWrap/>
            <w:vAlign w:val="bottom"/>
            <w:hideMark/>
          </w:tcPr>
          <w:p w14:paraId="3BEB1C66"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5AD3D23" w14:textId="77777777" w:rsidR="00F17BB5" w:rsidRPr="00E8569C" w:rsidRDefault="00F17BB5" w:rsidP="002E486B">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220F3784"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D18797"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4B6E04"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330A9F4F"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14:paraId="509CE800"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2E7D3A6B"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36DC5D"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B085D1"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536A7E97"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2635E65D"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CD338E6"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89462B" w14:paraId="4B3762A0"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7874B09"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5C566C7D"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A8CD78A"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35CB10"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BBD718"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89462B" w14:paraId="17635CC0"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26CF62BA"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D0B41CC"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3E83336"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15B15"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1024DF"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E30DD92"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59E9EE24" w14:textId="77777777" w:rsidR="00F17BB5" w:rsidRPr="009B6C89" w:rsidRDefault="00F17BB5" w:rsidP="002E486B">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E61C459"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07B69268" w14:textId="77777777" w:rsidR="00F17BB5" w:rsidRPr="009B6C89"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1B4DDE" w14:textId="77777777" w:rsidR="00F17BB5" w:rsidRPr="009B6C89"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6E5F5" w14:textId="77777777" w:rsidR="00F17BB5" w:rsidRPr="009B6C89" w:rsidRDefault="00F17BB5" w:rsidP="002E486B">
            <w:pPr>
              <w:jc w:val="center"/>
              <w:rPr>
                <w:rFonts w:ascii="Calibri" w:eastAsia="Times New Roman" w:hAnsi="Calibri" w:cs="Times New Roman"/>
                <w:b/>
                <w:bCs/>
                <w:color w:val="000000"/>
                <w:sz w:val="16"/>
                <w:szCs w:val="16"/>
                <w:lang w:eastAsia="en-GB"/>
              </w:rPr>
            </w:pPr>
          </w:p>
        </w:tc>
      </w:tr>
      <w:tr w:rsidR="00F17BB5" w:rsidRPr="002A00C3" w14:paraId="37ED6BC4" w14:textId="77777777" w:rsidTr="002E486B">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F17BB5" w:rsidRPr="009B6C89" w:rsidRDefault="00F17BB5" w:rsidP="002E486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hideMark/>
          </w:tcPr>
          <w:p w14:paraId="3698BB50"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1C56AC47" w14:textId="77777777" w:rsidR="00F17BB5" w:rsidRPr="009B6C89" w:rsidRDefault="00F17BB5" w:rsidP="002E486B">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41BECD2" w14:textId="77777777" w:rsidR="00F17BB5" w:rsidRPr="009B6C89" w:rsidRDefault="00F17BB5" w:rsidP="002E486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5903A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r>
      <w:tr w:rsidR="00F17BB5" w:rsidRPr="0089462B" w14:paraId="44EF2AC3" w14:textId="77777777" w:rsidTr="002E486B">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4712D99" w14:textId="77777777" w:rsidR="00F17BB5" w:rsidRPr="00CA0B60" w:rsidRDefault="00F17BB5" w:rsidP="002E486B">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F17BB5" w:rsidRPr="0089462B" w14:paraId="6C8CBD25" w14:textId="77777777" w:rsidTr="002E486B">
        <w:trPr>
          <w:trHeight w:val="75"/>
        </w:trPr>
        <w:tc>
          <w:tcPr>
            <w:tcW w:w="1276" w:type="dxa"/>
            <w:tcBorders>
              <w:top w:val="nil"/>
              <w:left w:val="nil"/>
              <w:bottom w:val="nil"/>
              <w:right w:val="nil"/>
            </w:tcBorders>
            <w:shd w:val="clear" w:color="auto" w:fill="auto"/>
            <w:noWrap/>
            <w:vAlign w:val="bottom"/>
            <w:hideMark/>
          </w:tcPr>
          <w:p w14:paraId="26484F10" w14:textId="77777777" w:rsidR="00F17BB5" w:rsidRPr="00CA0B60" w:rsidRDefault="00F17BB5" w:rsidP="002E486B">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F17BB5" w:rsidRPr="00CA0B60" w:rsidRDefault="00F17BB5" w:rsidP="002E486B">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F17BB5" w:rsidRPr="00CA0B60" w:rsidRDefault="00F17BB5" w:rsidP="002E486B">
            <w:pPr>
              <w:rPr>
                <w:rFonts w:ascii="Calibri" w:eastAsia="Times New Roman" w:hAnsi="Calibri" w:cs="Times New Roman"/>
                <w:color w:val="000000"/>
                <w:sz w:val="16"/>
                <w:szCs w:val="16"/>
                <w:lang w:eastAsia="en-GB"/>
              </w:rPr>
            </w:pPr>
          </w:p>
          <w:p w14:paraId="13CD53CB" w14:textId="77777777" w:rsidR="00F17BB5" w:rsidRPr="00CA0B60" w:rsidRDefault="00F17BB5" w:rsidP="002E486B">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F17BB5" w:rsidRPr="00CA0B60" w:rsidRDefault="00F17BB5" w:rsidP="002E486B">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F17BB5" w:rsidRPr="00CA0B60" w:rsidRDefault="00F17BB5" w:rsidP="002E486B">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F17BB5" w:rsidRPr="00CA0B60" w:rsidRDefault="00F17BB5" w:rsidP="002E486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F17BB5" w:rsidRPr="00CA0B60" w:rsidRDefault="00F17BB5" w:rsidP="002E486B">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F17BB5" w:rsidRPr="00CA0B60" w:rsidRDefault="00F17BB5" w:rsidP="002E486B">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F17BB5" w:rsidRPr="00CA0B60" w:rsidRDefault="00F17BB5" w:rsidP="002E486B">
            <w:pPr>
              <w:rPr>
                <w:rFonts w:ascii="Calibri" w:eastAsia="Times New Roman" w:hAnsi="Calibri" w:cs="Times New Roman"/>
                <w:color w:val="000000"/>
                <w:lang w:eastAsia="en-GB"/>
              </w:rPr>
            </w:pPr>
          </w:p>
        </w:tc>
      </w:tr>
      <w:tr w:rsidR="00F17BB5" w:rsidRPr="0089462B" w14:paraId="4F85975B" w14:textId="77777777" w:rsidTr="002E486B">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77777777" w:rsidR="00F17BB5" w:rsidRPr="00F72602" w:rsidRDefault="00F17BB5" w:rsidP="002E486B">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w:t>
            </w:r>
            <w:proofErr w:type="gramStart"/>
            <w:r w:rsidRPr="00F72602">
              <w:rPr>
                <w:rFonts w:ascii="Calibri" w:eastAsia="Times New Roman" w:hAnsi="Calibri" w:cs="Times New Roman"/>
                <w:color w:val="000000"/>
                <w:sz w:val="16"/>
                <w:szCs w:val="16"/>
                <w:lang w:val="en-US" w:eastAsia="en-GB"/>
              </w:rPr>
              <w:t>is :</w:t>
            </w:r>
            <w:proofErr w:type="gramEnd"/>
            <w:r w:rsidRPr="00F72602">
              <w:rPr>
                <w:rFonts w:ascii="Calibri" w:eastAsia="Times New Roman" w:hAnsi="Calibri" w:cs="Times New Roman"/>
                <w:color w:val="000000"/>
                <w:sz w:val="16"/>
                <w:szCs w:val="16"/>
                <w:lang w:val="en-US" w:eastAsia="en-GB"/>
              </w:rPr>
              <w:t xml:space="preserve"> </w:t>
            </w:r>
          </w:p>
          <w:p w14:paraId="56D26C95" w14:textId="77777777" w:rsidR="00F17BB5" w:rsidRPr="00F72602" w:rsidRDefault="00F17BB5" w:rsidP="002E486B">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77777777" w:rsidR="00F17BB5" w:rsidRPr="00CA0B60" w:rsidRDefault="00F17BB5" w:rsidP="002E486B">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F17BB5" w:rsidRPr="00CA0B60" w:rsidRDefault="00F17BB5" w:rsidP="002E486B">
            <w:pPr>
              <w:jc w:val="center"/>
              <w:rPr>
                <w:rFonts w:ascii="Calibri" w:eastAsia="Times New Roman" w:hAnsi="Calibri" w:cs="Times New Roman"/>
                <w:color w:val="000000"/>
                <w:sz w:val="16"/>
                <w:szCs w:val="16"/>
                <w:lang w:eastAsia="en-GB"/>
              </w:rPr>
            </w:pPr>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2E486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2E486B">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2E486B">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 xml:space="preserve">Recognition at the </w:t>
            </w:r>
            <w:proofErr w:type="spellStart"/>
            <w:r w:rsidRPr="00053F72">
              <w:rPr>
                <w:rFonts w:ascii="Calibri" w:eastAsia="Times New Roman" w:hAnsi="Calibri" w:cs="Times New Roman"/>
                <w:b/>
                <w:bCs/>
                <w:i/>
                <w:iCs/>
                <w:color w:val="000000"/>
                <w:sz w:val="16"/>
                <w:szCs w:val="16"/>
                <w:lang w:eastAsia="en-GB"/>
              </w:rPr>
              <w:t>Sending</w:t>
            </w:r>
            <w:proofErr w:type="spellEnd"/>
            <w:r w:rsidRPr="00053F72">
              <w:rPr>
                <w:rFonts w:ascii="Calibri" w:eastAsia="Times New Roman" w:hAnsi="Calibri" w:cs="Times New Roman"/>
                <w:b/>
                <w:bCs/>
                <w:i/>
                <w:iCs/>
                <w:color w:val="000000"/>
                <w:sz w:val="16"/>
                <w:szCs w:val="16"/>
                <w:lang w:eastAsia="en-GB"/>
              </w:rPr>
              <w:t xml:space="preserve"> Institution</w:t>
            </w:r>
          </w:p>
          <w:p w14:paraId="18280347" w14:textId="77777777" w:rsidR="00F17BB5" w:rsidRPr="00053F72" w:rsidRDefault="00F17BB5" w:rsidP="002E486B">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2E486B">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2E486B">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w:t>
            </w:r>
            <w:proofErr w:type="gramStart"/>
            <w:r w:rsidRPr="00BE57BD">
              <w:rPr>
                <w:rFonts w:ascii="Calibri" w:eastAsia="Times New Roman" w:hAnsi="Calibri" w:cs="Times New Roman"/>
                <w:bCs/>
                <w:color w:val="000000"/>
                <w:sz w:val="16"/>
                <w:szCs w:val="16"/>
                <w:lang w:eastAsia="en-GB"/>
              </w:rPr>
              <w:t>if</w:t>
            </w:r>
            <w:proofErr w:type="gramEnd"/>
            <w:r w:rsidRPr="00BE57BD">
              <w:rPr>
                <w:rFonts w:ascii="Calibri" w:eastAsia="Times New Roman" w:hAnsi="Calibri" w:cs="Times New Roman"/>
                <w:bCs/>
                <w:color w:val="000000"/>
                <w:sz w:val="16"/>
                <w:szCs w:val="16"/>
                <w:lang w:eastAsia="en-GB"/>
              </w:rPr>
              <w:t xml:space="preserve">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211D9292"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w:t>
            </w:r>
            <w:proofErr w:type="gramStart"/>
            <w:r w:rsidRPr="009B6C89">
              <w:rPr>
                <w:rFonts w:ascii="Calibri" w:eastAsia="Times New Roman" w:hAnsi="Calibri" w:cs="Times New Roman"/>
                <w:b/>
                <w:bCs/>
                <w:color w:val="548DD4" w:themeColor="text2" w:themeTint="99"/>
                <w:sz w:val="16"/>
                <w:szCs w:val="16"/>
                <w:lang w:eastAsia="en-GB"/>
              </w:rPr>
              <w:t>si</w:t>
            </w:r>
            <w:proofErr w:type="gramEnd"/>
            <w:r w:rsidRPr="009B6C89">
              <w:rPr>
                <w:rFonts w:ascii="Calibri" w:eastAsia="Times New Roman" w:hAnsi="Calibri" w:cs="Times New Roman"/>
                <w:b/>
                <w:bCs/>
                <w:color w:val="548DD4" w:themeColor="text2" w:themeTint="99"/>
                <w:sz w:val="16"/>
                <w:szCs w:val="16"/>
                <w:lang w:eastAsia="en-GB"/>
              </w:rPr>
              <w:t xml:space="preserve">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2E486B">
            <w:pPr>
              <w:jc w:val="center"/>
              <w:rPr>
                <w:rFonts w:ascii="Calibri" w:eastAsia="Times New Roman" w:hAnsi="Calibri" w:cs="Times New Roman"/>
                <w:bCs/>
                <w:color w:val="548DD4" w:themeColor="text2" w:themeTint="99"/>
                <w:sz w:val="16"/>
                <w:szCs w:val="16"/>
                <w:lang w:eastAsia="en-GB"/>
              </w:rPr>
            </w:pPr>
            <w:proofErr w:type="gramStart"/>
            <w:r w:rsidRPr="009B6C89">
              <w:rPr>
                <w:rFonts w:ascii="Calibri" w:eastAsia="Times New Roman" w:hAnsi="Calibri" w:cs="Times New Roman"/>
                <w:bCs/>
                <w:color w:val="548DD4" w:themeColor="text2" w:themeTint="99"/>
                <w:sz w:val="16"/>
                <w:szCs w:val="16"/>
                <w:lang w:eastAsia="en-GB"/>
              </w:rPr>
              <w:t>ou</w:t>
            </w:r>
            <w:proofErr w:type="gramEnd"/>
          </w:p>
          <w:p w14:paraId="2FC7F2F0" w14:textId="77777777" w:rsidR="00F17BB5" w:rsidRPr="00BE57BD" w:rsidRDefault="00F17BB5" w:rsidP="002E486B">
            <w:pPr>
              <w:jc w:val="center"/>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Cs/>
                <w:color w:val="548DD4" w:themeColor="text2" w:themeTint="99"/>
                <w:sz w:val="16"/>
                <w:szCs w:val="16"/>
                <w:lang w:eastAsia="en-GB"/>
              </w:rPr>
              <w:t>trimestre</w:t>
            </w:r>
            <w:proofErr w:type="gramEnd"/>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2E486B">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2E486B">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2E486B">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14:paraId="48FD651F" w14:textId="77777777" w:rsidR="00F17BB5" w:rsidRPr="00F5235A" w:rsidRDefault="00F17BB5" w:rsidP="002E486B">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14:paraId="3C1D3AEE"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65D88E"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3CEEB92B" w14:textId="77777777" w:rsidTr="002E486B">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ED60" w14:textId="77777777" w:rsidR="00F17BB5" w:rsidRPr="00F5235A" w:rsidRDefault="00F17BB5" w:rsidP="002E486B">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C472FA6"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45117F6A" w14:textId="77777777" w:rsidTr="002E486B">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CDEEF3"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354C8A7"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15B6DF81"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7760C"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A68668E"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CA6FD"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2A00C3" w14:paraId="523BB754" w14:textId="77777777" w:rsidTr="002E486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13C13F0"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D58719"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r>
      <w:tr w:rsidR="00F17BB5" w:rsidRPr="0089462B" w14:paraId="1832F5F6" w14:textId="77777777" w:rsidTr="002E486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2E486B">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2E486B">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2E486B">
        <w:trPr>
          <w:trHeight w:val="83"/>
        </w:trPr>
        <w:tc>
          <w:tcPr>
            <w:tcW w:w="982" w:type="dxa"/>
            <w:tcBorders>
              <w:top w:val="nil"/>
              <w:left w:val="nil"/>
              <w:bottom w:val="nil"/>
              <w:right w:val="nil"/>
            </w:tcBorders>
            <w:shd w:val="clear" w:color="auto" w:fill="auto"/>
            <w:noWrap/>
            <w:vAlign w:val="bottom"/>
            <w:hideMark/>
          </w:tcPr>
          <w:p w14:paraId="7612A878"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2E486B">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2E486B">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2E486B">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F17BB5" w:rsidRPr="00F5235A" w:rsidRDefault="00F17BB5" w:rsidP="002E486B">
            <w:pPr>
              <w:rPr>
                <w:rFonts w:ascii="Calibri" w:eastAsia="Times New Roman" w:hAnsi="Calibri" w:cs="Times New Roman"/>
                <w:color w:val="000000"/>
                <w:lang w:eastAsia="en-GB"/>
              </w:rPr>
            </w:pPr>
          </w:p>
        </w:tc>
      </w:tr>
      <w:tr w:rsidR="00F17BB5" w:rsidRPr="0089462B" w14:paraId="720D60C2" w14:textId="77777777" w:rsidTr="002E486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Pr="00474762" w:rsidRDefault="00F17BB5" w:rsidP="002E486B">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F17BB5" w:rsidRDefault="00F17BB5" w:rsidP="002E486B">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2E486B">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2DA6D8EC" w14:textId="77777777" w:rsidTr="002E48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40180">
              <w:rPr>
                <w:rFonts w:ascii="Calibri" w:eastAsia="Times New Roman" w:hAnsi="Calibri" w:cs="Times New Roman"/>
                <w:b/>
                <w:bCs/>
                <w:color w:val="548DD4" w:themeColor="text2" w:themeTint="99"/>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2E486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F17BB5" w:rsidRPr="002A00C3" w:rsidRDefault="00F17BB5" w:rsidP="002E486B">
            <w:pPr>
              <w:jc w:val="center"/>
              <w:rPr>
                <w:rFonts w:ascii="Calibri" w:eastAsia="Times New Roman" w:hAnsi="Calibri" w:cs="Times New Roman"/>
                <w:color w:val="000000"/>
                <w:sz w:val="16"/>
                <w:szCs w:val="16"/>
                <w:lang w:val="en-GB" w:eastAsia="en-GB"/>
              </w:rPr>
            </w:pPr>
            <w:proofErr w:type="spellStart"/>
            <w:r w:rsidRPr="00B40180">
              <w:rPr>
                <w:rFonts w:ascii="Calibri" w:eastAsia="Times New Roman" w:hAnsi="Calibri" w:cs="Times New Roman"/>
                <w:color w:val="548DD4" w:themeColor="text2" w:themeTint="99"/>
                <w:sz w:val="16"/>
                <w:szCs w:val="16"/>
                <w:lang w:val="en-GB" w:eastAsia="en-GB"/>
              </w:rPr>
              <w:t>Etudiant</w:t>
            </w:r>
            <w:proofErr w:type="spellEnd"/>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2E486B">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2E486B">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2E486B">
            <w:pPr>
              <w:jc w:val="center"/>
              <w:rPr>
                <w:rFonts w:ascii="Calibri" w:eastAsia="Times New Roman" w:hAnsi="Calibri" w:cs="Times New Roman"/>
                <w:color w:val="000000"/>
                <w:sz w:val="16"/>
                <w:szCs w:val="16"/>
                <w:lang w:val="en-GB" w:eastAsia="en-GB"/>
              </w:rPr>
            </w:pPr>
            <w:proofErr w:type="spellStart"/>
            <w:r w:rsidRPr="005B5F72">
              <w:rPr>
                <w:rFonts w:ascii="Calibri" w:eastAsia="Times New Roman" w:hAnsi="Calibri" w:cs="Times New Roman"/>
                <w:i/>
                <w:color w:val="4F81BD" w:themeColor="accent1"/>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89462B" w14:paraId="0E02104B" w14:textId="77777777" w:rsidTr="002E48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6003D5"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7FD57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2D7C0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53CA895" w14:textId="77777777" w:rsidTr="002E486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sectPr w:rsidR="00DE5AA5" w:rsidSect="00CD0523">
      <w:headerReference w:type="default" r:id="rId8"/>
      <w:endnotePr>
        <w:numFmt w:val="decimal"/>
      </w:endnotePr>
      <w:type w:val="continuous"/>
      <w:pgSz w:w="11900" w:h="16840"/>
      <w:pgMar w:top="851" w:right="843" w:bottom="1417" w:left="284" w:header="708" w:footer="2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5B7C" w14:textId="77777777" w:rsidR="00AC757F" w:rsidRDefault="00AC757F" w:rsidP="00EC610C">
      <w:r>
        <w:separator/>
      </w:r>
    </w:p>
  </w:endnote>
  <w:endnote w:type="continuationSeparator" w:id="0">
    <w:p w14:paraId="4109BF99" w14:textId="77777777" w:rsidR="00AC757F" w:rsidRDefault="00AC757F" w:rsidP="00EC610C">
      <w:r>
        <w:continuationSeparator/>
      </w:r>
    </w:p>
  </w:endnote>
  <w:endnote w:id="1">
    <w:p w14:paraId="530C4B16" w14:textId="77777777" w:rsidR="002E486B" w:rsidRPr="00F17BB5" w:rsidRDefault="002E486B"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2E486B" w:rsidRPr="00F17BB5" w:rsidRDefault="002E486B"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2E486B" w:rsidRPr="00F17BB5" w:rsidRDefault="002E486B"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2E486B" w:rsidRPr="00F17BB5" w:rsidRDefault="002E486B"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2E486B" w:rsidRPr="00F17BB5" w:rsidRDefault="002E486B"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2E486B" w:rsidRPr="00F17BB5" w:rsidRDefault="002E486B"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2E486B" w:rsidRPr="00F17BB5" w:rsidRDefault="002E486B"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2E486B" w:rsidRPr="00F17BB5" w:rsidRDefault="002E486B"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2E486B" w:rsidRPr="00F17BB5" w:rsidRDefault="002E486B"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1167E804" w14:textId="77777777" w:rsidR="002E486B" w:rsidRPr="00F17BB5" w:rsidRDefault="002E486B"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2E486B" w:rsidRPr="00F17BB5" w:rsidRDefault="00FB0F52" w:rsidP="00F17BB5">
      <w:pPr>
        <w:pStyle w:val="Notedefin"/>
        <w:spacing w:after="120"/>
        <w:ind w:left="284"/>
        <w:jc w:val="both"/>
        <w:rPr>
          <w:rFonts w:asciiTheme="majorHAnsi" w:hAnsiTheme="majorHAnsi" w:cstheme="majorHAnsi"/>
          <w:sz w:val="16"/>
          <w:szCs w:val="16"/>
          <w:lang w:val="fr-FR"/>
        </w:rPr>
      </w:pPr>
      <w:hyperlink r:id="rId4" w:history="1">
        <w:r w:rsidR="002E486B"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2E486B"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AD12" w14:textId="77777777" w:rsidR="00AC757F" w:rsidRDefault="00AC757F" w:rsidP="00EC610C">
      <w:r>
        <w:separator/>
      </w:r>
    </w:p>
  </w:footnote>
  <w:footnote w:type="continuationSeparator" w:id="0">
    <w:p w14:paraId="34766B65" w14:textId="77777777" w:rsidR="00AC757F" w:rsidRDefault="00AC757F"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688D" w14:textId="77777777" w:rsidR="002E486B" w:rsidRDefault="002E486B"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24436"/>
    <w:rsid w:val="00037958"/>
    <w:rsid w:val="00092E67"/>
    <w:rsid w:val="00101726"/>
    <w:rsid w:val="0010369A"/>
    <w:rsid w:val="00161CA6"/>
    <w:rsid w:val="00172FEB"/>
    <w:rsid w:val="0018624D"/>
    <w:rsid w:val="001A18F2"/>
    <w:rsid w:val="001B328D"/>
    <w:rsid w:val="001B4435"/>
    <w:rsid w:val="001D41D3"/>
    <w:rsid w:val="002308CE"/>
    <w:rsid w:val="002863AD"/>
    <w:rsid w:val="002A1A40"/>
    <w:rsid w:val="002C113F"/>
    <w:rsid w:val="002E486B"/>
    <w:rsid w:val="002E4DA5"/>
    <w:rsid w:val="003578A1"/>
    <w:rsid w:val="003645B9"/>
    <w:rsid w:val="00366CA7"/>
    <w:rsid w:val="00382729"/>
    <w:rsid w:val="003B239C"/>
    <w:rsid w:val="00457E0F"/>
    <w:rsid w:val="00476BE3"/>
    <w:rsid w:val="005600AD"/>
    <w:rsid w:val="00581B49"/>
    <w:rsid w:val="0058765E"/>
    <w:rsid w:val="005A5093"/>
    <w:rsid w:val="00600BD0"/>
    <w:rsid w:val="00651611"/>
    <w:rsid w:val="00692194"/>
    <w:rsid w:val="008472A9"/>
    <w:rsid w:val="00877B01"/>
    <w:rsid w:val="00894D85"/>
    <w:rsid w:val="008A6A85"/>
    <w:rsid w:val="008A7583"/>
    <w:rsid w:val="008C6734"/>
    <w:rsid w:val="009358B3"/>
    <w:rsid w:val="0093633F"/>
    <w:rsid w:val="00962C45"/>
    <w:rsid w:val="00A622AE"/>
    <w:rsid w:val="00A84B0F"/>
    <w:rsid w:val="00AA17B7"/>
    <w:rsid w:val="00AC010E"/>
    <w:rsid w:val="00AC757F"/>
    <w:rsid w:val="00AD5B08"/>
    <w:rsid w:val="00B133A7"/>
    <w:rsid w:val="00B87E45"/>
    <w:rsid w:val="00BA4655"/>
    <w:rsid w:val="00BB7A7C"/>
    <w:rsid w:val="00C02E23"/>
    <w:rsid w:val="00C52083"/>
    <w:rsid w:val="00C90942"/>
    <w:rsid w:val="00CD02CC"/>
    <w:rsid w:val="00CD0523"/>
    <w:rsid w:val="00CF6071"/>
    <w:rsid w:val="00D50AC0"/>
    <w:rsid w:val="00D81B7A"/>
    <w:rsid w:val="00DA3D58"/>
    <w:rsid w:val="00DB2F72"/>
    <w:rsid w:val="00DC1EDC"/>
    <w:rsid w:val="00DE5AA5"/>
    <w:rsid w:val="00E755B8"/>
    <w:rsid w:val="00EB5653"/>
    <w:rsid w:val="00EC610C"/>
    <w:rsid w:val="00EE1B35"/>
    <w:rsid w:val="00EE53A2"/>
    <w:rsid w:val="00F01CCD"/>
    <w:rsid w:val="00F11BE9"/>
    <w:rsid w:val="00F17BB5"/>
    <w:rsid w:val="00F5784F"/>
    <w:rsid w:val="00F73618"/>
    <w:rsid w:val="00FB0F5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2337BD"/>
  <w15:docId w15:val="{33F2FC68-F0B6-4123-8CDF-059C3B7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950E-255E-41D2-8E37-20FCC66B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COULÉON ALICE</cp:lastModifiedBy>
  <cp:revision>2</cp:revision>
  <cp:lastPrinted>2015-07-09T12:11:00Z</cp:lastPrinted>
  <dcterms:created xsi:type="dcterms:W3CDTF">2024-04-10T13:38:00Z</dcterms:created>
  <dcterms:modified xsi:type="dcterms:W3CDTF">2024-04-10T13:38:00Z</dcterms:modified>
</cp:coreProperties>
</file>